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1F38C5D6" w:rsidR="0009502C" w:rsidRPr="00A2550B" w:rsidRDefault="00EC77AE" w:rsidP="0009502C">
      <w:pPr>
        <w:jc w:val="center"/>
        <w:rPr>
          <w:rFonts w:asciiTheme="minorHAnsi" w:hAnsiTheme="minorHAnsi" w:cstheme="minorHAnsi"/>
          <w:b/>
          <w:szCs w:val="24"/>
        </w:rPr>
      </w:pPr>
      <w:r w:rsidRPr="009E06B4">
        <w:rPr>
          <w:rFonts w:asciiTheme="minorHAnsi" w:eastAsia="Garamond" w:hAnsiTheme="minorHAnsi" w:cstheme="minorHAnsi"/>
          <w:b/>
          <w:bCs/>
        </w:rPr>
        <w:t>22-70</w:t>
      </w:r>
      <w:r w:rsidR="00E3675B">
        <w:rPr>
          <w:rFonts w:asciiTheme="minorHAnsi" w:eastAsia="Garamond" w:hAnsiTheme="minorHAnsi" w:cstheme="minorHAnsi"/>
          <w:b/>
          <w:bCs/>
        </w:rPr>
        <w:t>333</w:t>
      </w:r>
      <w:r w:rsidR="009348BE">
        <w:rPr>
          <w:rFonts w:asciiTheme="minorHAnsi" w:eastAsia="Garamond" w:hAnsiTheme="minorHAnsi" w:cstheme="minorHAnsi"/>
          <w:b/>
          <w:bCs/>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8070F3">
        <w:rPr>
          <w:rFonts w:asciiTheme="minorHAnsi" w:hAnsiTheme="minorHAnsi" w:cstheme="minorHAnsi"/>
          <w:b/>
          <w:szCs w:val="24"/>
        </w:rPr>
        <w:t>(optional)</w:t>
      </w:r>
      <w:r w:rsidRPr="008070F3">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18143834" w14:textId="6645C160" w:rsidR="00BD4508" w:rsidRPr="008578F9" w:rsidRDefault="00C830DF" w:rsidP="00BD4508">
            <w:pPr>
              <w:rPr>
                <w:rFonts w:ascii="Arial" w:hAnsi="Arial" w:cs="Arial"/>
                <w:sz w:val="20"/>
              </w:rPr>
            </w:pPr>
            <w:r w:rsidRPr="008578F9">
              <w:rPr>
                <w:rFonts w:ascii="Arial" w:hAnsi="Arial" w:cs="Arial"/>
                <w:sz w:val="20"/>
              </w:rPr>
              <w:t xml:space="preserve">Milliman has a longstanding history of collaboration providing healthcare consulting services to the State of Indiana. We have a deep commitment to protecting the health of people everywhere and support the Division of Mental Health and Addiction (DMHA) in its goals to </w:t>
            </w:r>
            <w:r w:rsidR="008A45B7" w:rsidRPr="008578F9">
              <w:rPr>
                <w:rFonts w:ascii="Arial" w:hAnsi="Arial" w:cs="Arial"/>
                <w:sz w:val="20"/>
              </w:rPr>
              <w:t xml:space="preserve">meticulously assess and update the Indiana Administrative Code (IAC) as it pertains to the provision of mental health and addiction services in the state. </w:t>
            </w:r>
            <w:r w:rsidR="00BD4508" w:rsidRPr="008578F9">
              <w:rPr>
                <w:rFonts w:ascii="Arial" w:hAnsi="Arial" w:cs="Arial"/>
                <w:sz w:val="20"/>
              </w:rPr>
              <w:t xml:space="preserve">Milliman </w:t>
            </w:r>
            <w:r w:rsidR="000314B4">
              <w:rPr>
                <w:rFonts w:ascii="Arial" w:hAnsi="Arial" w:cs="Arial"/>
                <w:sz w:val="20"/>
              </w:rPr>
              <w:t>brings</w:t>
            </w:r>
            <w:r w:rsidR="00BD4508" w:rsidRPr="008578F9">
              <w:rPr>
                <w:rFonts w:ascii="Arial" w:hAnsi="Arial" w:cs="Arial"/>
                <w:sz w:val="20"/>
              </w:rPr>
              <w:t xml:space="preserve"> a </w:t>
            </w:r>
            <w:r w:rsidR="001F3C4F">
              <w:rPr>
                <w:rFonts w:ascii="Arial" w:hAnsi="Arial" w:cs="Arial"/>
                <w:sz w:val="20"/>
              </w:rPr>
              <w:t xml:space="preserve">highly experienced, </w:t>
            </w:r>
            <w:r w:rsidR="00CB5933">
              <w:rPr>
                <w:rFonts w:ascii="Arial" w:hAnsi="Arial" w:cs="Arial"/>
                <w:sz w:val="20"/>
              </w:rPr>
              <w:t xml:space="preserve">deeply </w:t>
            </w:r>
            <w:r w:rsidR="00817B92">
              <w:rPr>
                <w:rFonts w:ascii="Arial" w:hAnsi="Arial" w:cs="Arial"/>
                <w:sz w:val="20"/>
              </w:rPr>
              <w:t>knowledgeable,</w:t>
            </w:r>
            <w:r w:rsidR="00CB5933">
              <w:rPr>
                <w:rFonts w:ascii="Arial" w:hAnsi="Arial" w:cs="Arial"/>
                <w:sz w:val="20"/>
              </w:rPr>
              <w:t xml:space="preserve"> and </w:t>
            </w:r>
            <w:r w:rsidR="001F3C4F">
              <w:rPr>
                <w:rFonts w:ascii="Arial" w:hAnsi="Arial" w:cs="Arial"/>
                <w:sz w:val="20"/>
              </w:rPr>
              <w:t>m</w:t>
            </w:r>
            <w:r w:rsidR="00874D95">
              <w:rPr>
                <w:rFonts w:ascii="Arial" w:hAnsi="Arial" w:cs="Arial"/>
                <w:sz w:val="20"/>
              </w:rPr>
              <w:t xml:space="preserve">ulti-disciplinary team </w:t>
            </w:r>
            <w:r w:rsidR="00226797">
              <w:rPr>
                <w:rFonts w:ascii="Arial" w:hAnsi="Arial" w:cs="Arial"/>
                <w:sz w:val="20"/>
              </w:rPr>
              <w:t>with specific Indiana</w:t>
            </w:r>
            <w:r w:rsidR="00126D9E">
              <w:rPr>
                <w:rFonts w:ascii="Arial" w:hAnsi="Arial" w:cs="Arial"/>
                <w:sz w:val="20"/>
              </w:rPr>
              <w:t xml:space="preserve"> </w:t>
            </w:r>
            <w:r w:rsidR="00CB5933">
              <w:rPr>
                <w:rFonts w:ascii="Arial" w:hAnsi="Arial" w:cs="Arial"/>
                <w:sz w:val="20"/>
              </w:rPr>
              <w:t xml:space="preserve">behavioral health and </w:t>
            </w:r>
            <w:r w:rsidR="00126D9E">
              <w:rPr>
                <w:rFonts w:ascii="Arial" w:hAnsi="Arial" w:cs="Arial"/>
                <w:sz w:val="20"/>
              </w:rPr>
              <w:t xml:space="preserve">regulatory experience, including direct </w:t>
            </w:r>
            <w:r w:rsidR="00817B92">
              <w:rPr>
                <w:rFonts w:ascii="Arial" w:hAnsi="Arial" w:cs="Arial"/>
                <w:sz w:val="20"/>
              </w:rPr>
              <w:t>knowledge and participation in the IAC drafting process. Moreover, our firm possesses</w:t>
            </w:r>
            <w:r w:rsidR="00BD4508" w:rsidRPr="008578F9">
              <w:rPr>
                <w:rFonts w:ascii="Arial" w:hAnsi="Arial" w:cs="Arial"/>
                <w:sz w:val="20"/>
              </w:rPr>
              <w:t xml:space="preserve"> a </w:t>
            </w:r>
            <w:r w:rsidR="000314B4">
              <w:rPr>
                <w:rFonts w:ascii="Arial" w:hAnsi="Arial" w:cs="Arial"/>
                <w:sz w:val="20"/>
              </w:rPr>
              <w:t>broad</w:t>
            </w:r>
            <w:r w:rsidR="00BD4508" w:rsidRPr="008578F9">
              <w:rPr>
                <w:rFonts w:ascii="Arial" w:hAnsi="Arial" w:cs="Arial"/>
                <w:sz w:val="20"/>
              </w:rPr>
              <w:t xml:space="preserve"> bench of behavioral health subject matter experts and policy analysts we can rely on to assist with this work as needed. Our healthcare policy team members are accomplished professionals with far-reaching industry knowledge, expertise, and experience with projects that require in-depth, meticulous policy analysis, development, and implementation. This includes work with both State and Federal agencies, research and analysis, stakeholder outreach and engagement, and significant experience with projects specific to increasing the availability of mental health and addiction care in local communities. </w:t>
            </w:r>
          </w:p>
          <w:p w14:paraId="5ABCE9FF" w14:textId="77777777" w:rsidR="00BD4508" w:rsidRPr="008578F9" w:rsidRDefault="00BD4508" w:rsidP="00BD4508">
            <w:pPr>
              <w:rPr>
                <w:rFonts w:ascii="Arial" w:hAnsi="Arial" w:cs="Arial"/>
                <w:sz w:val="20"/>
              </w:rPr>
            </w:pPr>
          </w:p>
          <w:p w14:paraId="1C69C3F0" w14:textId="0F2443D1" w:rsidR="00BD4508" w:rsidRPr="008578F9" w:rsidRDefault="0062196F" w:rsidP="00BD4508">
            <w:pPr>
              <w:rPr>
                <w:rFonts w:ascii="Arial" w:hAnsi="Arial" w:cs="Arial"/>
                <w:sz w:val="20"/>
              </w:rPr>
            </w:pPr>
            <w:r w:rsidRPr="008578F9">
              <w:rPr>
                <w:rFonts w:ascii="Arial" w:hAnsi="Arial" w:cs="Arial"/>
                <w:sz w:val="20"/>
              </w:rPr>
              <w:t xml:space="preserve">Milliman </w:t>
            </w:r>
            <w:r>
              <w:rPr>
                <w:rFonts w:ascii="Arial" w:hAnsi="Arial" w:cs="Arial"/>
                <w:sz w:val="20"/>
              </w:rPr>
              <w:t xml:space="preserve">is uniquely poised to support DMHA on this important initiative to assess and revise the agency’s administrative code. </w:t>
            </w:r>
            <w:r w:rsidR="00BD4508" w:rsidRPr="008578F9">
              <w:rPr>
                <w:rFonts w:ascii="Arial" w:hAnsi="Arial" w:cs="Arial"/>
                <w:sz w:val="20"/>
              </w:rPr>
              <w:t>Our team members have worked with and for behavioral health providers, patient consumer/advocates, health plans, and state agencies. We intimately understand that access to behavioral healthcare is one of the most pressing challenges faced by States today. We also appreciate that the COVID-19 pandemic has only added an increased urgency to this crisis and the demand for these services has escalated quickly over the past two years. The Milliman team for this project is comprised of behavioral health experts with unmatched knowledge and experience with the entire range of issues in the mental health and addiction space and who understand the challenges faced by states in this present moment. This knowledge and experience include a deep familiarity with issues pertaining to topics such as coverage, access and availability, workforce, and different treatment and delivery models.</w:t>
            </w:r>
          </w:p>
          <w:p w14:paraId="208EA209" w14:textId="77777777" w:rsidR="00BD4508" w:rsidRPr="008578F9" w:rsidRDefault="00BD4508" w:rsidP="00BD4508">
            <w:pPr>
              <w:rPr>
                <w:rFonts w:ascii="Arial" w:hAnsi="Arial" w:cs="Arial"/>
                <w:sz w:val="20"/>
              </w:rPr>
            </w:pPr>
          </w:p>
          <w:p w14:paraId="1AEAF090" w14:textId="726FA4E6" w:rsidR="00BD4508" w:rsidRPr="008578F9" w:rsidRDefault="00175245" w:rsidP="00BD4508">
            <w:pPr>
              <w:rPr>
                <w:rFonts w:ascii="Arial" w:hAnsi="Arial" w:cs="Arial"/>
                <w:sz w:val="20"/>
              </w:rPr>
            </w:pPr>
            <w:r>
              <w:rPr>
                <w:rFonts w:ascii="Arial" w:hAnsi="Arial" w:cs="Arial"/>
                <w:sz w:val="20"/>
              </w:rPr>
              <w:t>We have</w:t>
            </w:r>
            <w:r w:rsidR="00BD4508" w:rsidRPr="008578F9">
              <w:rPr>
                <w:rFonts w:ascii="Arial" w:hAnsi="Arial" w:cs="Arial"/>
                <w:sz w:val="20"/>
              </w:rPr>
              <w:t xml:space="preserve"> partnered on projects with states across the country as they attempt to increase the availability of and access to mental health and addiction treatment services for their residents. As an example, we are currently working with a state in designing and planning implementation of a statewide CCBHC care delivery model. The project includes policy research to identify a path to secure appropriate authorities, </w:t>
            </w:r>
            <w:r w:rsidR="00473A12">
              <w:rPr>
                <w:rFonts w:ascii="Arial" w:hAnsi="Arial" w:cs="Arial"/>
                <w:sz w:val="20"/>
              </w:rPr>
              <w:t xml:space="preserve">actuarial analysis to develop sound dates and estimate budget impacts, </w:t>
            </w:r>
            <w:r w:rsidR="00BD4508" w:rsidRPr="008578F9">
              <w:rPr>
                <w:rFonts w:ascii="Arial" w:hAnsi="Arial" w:cs="Arial"/>
                <w:sz w:val="20"/>
              </w:rPr>
              <w:t xml:space="preserve">and stakeholder engagement activities to ensure mental health and addiction treatment providers, and other important stakeholders are bought in and informed ahead of implementation. </w:t>
            </w:r>
            <w:r w:rsidR="00686A7C">
              <w:rPr>
                <w:rFonts w:ascii="Arial" w:hAnsi="Arial" w:cs="Arial"/>
                <w:sz w:val="20"/>
              </w:rPr>
              <w:t xml:space="preserve">In short, our team members understand all sides of the project </w:t>
            </w:r>
            <w:r w:rsidR="00B551B8">
              <w:rPr>
                <w:rFonts w:ascii="Arial" w:hAnsi="Arial" w:cs="Arial"/>
                <w:sz w:val="20"/>
              </w:rPr>
              <w:t xml:space="preserve">and can advise the state </w:t>
            </w:r>
            <w:r w:rsidR="00685EDC">
              <w:rPr>
                <w:rFonts w:ascii="Arial" w:hAnsi="Arial" w:cs="Arial"/>
                <w:sz w:val="20"/>
              </w:rPr>
              <w:t>in an efficient, actionable manner</w:t>
            </w:r>
            <w:r w:rsidR="006A2D83">
              <w:rPr>
                <w:rFonts w:ascii="Arial" w:hAnsi="Arial" w:cs="Arial"/>
                <w:sz w:val="20"/>
              </w:rPr>
              <w:t>,</w:t>
            </w:r>
            <w:r w:rsidR="00685EDC">
              <w:rPr>
                <w:rFonts w:ascii="Arial" w:hAnsi="Arial" w:cs="Arial"/>
                <w:sz w:val="20"/>
              </w:rPr>
              <w:t xml:space="preserve"> </w:t>
            </w:r>
            <w:r w:rsidR="00F233E7">
              <w:rPr>
                <w:rFonts w:ascii="Arial" w:hAnsi="Arial" w:cs="Arial"/>
                <w:sz w:val="20"/>
              </w:rPr>
              <w:t xml:space="preserve">well-suited to </w:t>
            </w:r>
            <w:r w:rsidR="0062196F">
              <w:rPr>
                <w:rFonts w:ascii="Arial" w:hAnsi="Arial" w:cs="Arial"/>
                <w:sz w:val="20"/>
              </w:rPr>
              <w:t xml:space="preserve">solve for its particular </w:t>
            </w:r>
            <w:r w:rsidR="006A2D83">
              <w:rPr>
                <w:rFonts w:ascii="Arial" w:hAnsi="Arial" w:cs="Arial"/>
                <w:sz w:val="20"/>
              </w:rPr>
              <w:t>needs.</w:t>
            </w:r>
          </w:p>
          <w:p w14:paraId="421B8E1E" w14:textId="77777777" w:rsidR="00BD4508" w:rsidRPr="008578F9" w:rsidRDefault="00BD4508" w:rsidP="00BD4508">
            <w:pPr>
              <w:rPr>
                <w:rFonts w:ascii="Arial" w:hAnsi="Arial" w:cs="Arial"/>
                <w:sz w:val="20"/>
              </w:rPr>
            </w:pPr>
          </w:p>
          <w:p w14:paraId="1997F7C8" w14:textId="77777777" w:rsidR="00041224" w:rsidRPr="00041224" w:rsidRDefault="00BD4508" w:rsidP="00041224">
            <w:pPr>
              <w:rPr>
                <w:rFonts w:ascii="Arial" w:hAnsi="Arial" w:cs="Arial"/>
                <w:sz w:val="20"/>
              </w:rPr>
            </w:pPr>
            <w:r w:rsidRPr="37D7D5CE">
              <w:rPr>
                <w:rFonts w:ascii="Arial" w:hAnsi="Arial" w:cs="Arial"/>
                <w:sz w:val="20"/>
              </w:rPr>
              <w:t xml:space="preserve">Furthermore – and of particular relevance to this project – our team includes </w:t>
            </w:r>
            <w:r w:rsidR="0045454A" w:rsidRPr="37D7D5CE">
              <w:rPr>
                <w:rFonts w:ascii="Arial" w:hAnsi="Arial" w:cs="Arial"/>
                <w:sz w:val="20"/>
              </w:rPr>
              <w:t>several</w:t>
            </w:r>
            <w:r w:rsidRPr="37D7D5CE">
              <w:rPr>
                <w:rFonts w:ascii="Arial" w:hAnsi="Arial" w:cs="Arial"/>
                <w:sz w:val="20"/>
              </w:rPr>
              <w:t xml:space="preserve"> attorneys with legal expertise and abundant experience with state legislative and administrative </w:t>
            </w:r>
            <w:r w:rsidR="006A2D83" w:rsidRPr="37D7D5CE">
              <w:rPr>
                <w:rFonts w:ascii="Arial" w:hAnsi="Arial" w:cs="Arial"/>
                <w:sz w:val="20"/>
              </w:rPr>
              <w:t>codes</w:t>
            </w:r>
            <w:r w:rsidRPr="37D7D5CE">
              <w:rPr>
                <w:rFonts w:ascii="Arial" w:hAnsi="Arial" w:cs="Arial"/>
                <w:sz w:val="20"/>
              </w:rPr>
              <w:t xml:space="preserve">. Multiple members of our team have direct experience working with the Indiana Family and </w:t>
            </w:r>
            <w:r w:rsidRPr="37D7D5CE">
              <w:rPr>
                <w:rFonts w:ascii="Arial" w:hAnsi="Arial" w:cs="Arial"/>
                <w:sz w:val="20"/>
              </w:rPr>
              <w:lastRenderedPageBreak/>
              <w:t>Social Services Administration, state legislature, and several other state agencies both during and prior to their tenure at Milliman.</w:t>
            </w:r>
            <w:r w:rsidR="00D17FC8" w:rsidRPr="37D7D5CE">
              <w:rPr>
                <w:rFonts w:ascii="Arial" w:hAnsi="Arial" w:cs="Arial"/>
                <w:sz w:val="20"/>
              </w:rPr>
              <w:t xml:space="preserve"> </w:t>
            </w:r>
          </w:p>
          <w:p w14:paraId="76096F39" w14:textId="77777777" w:rsidR="00041224" w:rsidRPr="00041224" w:rsidRDefault="00041224" w:rsidP="00041224">
            <w:pPr>
              <w:rPr>
                <w:rFonts w:ascii="Arial" w:hAnsi="Arial" w:cs="Arial"/>
                <w:sz w:val="20"/>
              </w:rPr>
            </w:pPr>
          </w:p>
          <w:p w14:paraId="36C56892" w14:textId="77777777" w:rsidR="00237CB2" w:rsidRDefault="00041224" w:rsidP="00BD4508">
            <w:pPr>
              <w:rPr>
                <w:rFonts w:ascii="Arial" w:hAnsi="Arial" w:cs="Arial"/>
                <w:sz w:val="20"/>
              </w:rPr>
            </w:pPr>
            <w:r w:rsidRPr="00041224">
              <w:rPr>
                <w:rFonts w:ascii="Arial" w:hAnsi="Arial" w:cs="Arial"/>
                <w:sz w:val="20"/>
              </w:rPr>
              <w:t xml:space="preserve">This combination of in-depth subject matter expertise in behavioral health policy and extensive experience with the State of Indiana and its rules promulgation process uniquely positions this team to complete this work in a manner that ensures that Title 440 is </w:t>
            </w:r>
            <w:r w:rsidR="00717D64">
              <w:rPr>
                <w:rFonts w:ascii="Arial" w:hAnsi="Arial" w:cs="Arial"/>
                <w:sz w:val="20"/>
              </w:rPr>
              <w:t>modernized</w:t>
            </w:r>
            <w:r w:rsidRPr="00041224">
              <w:rPr>
                <w:rFonts w:ascii="Arial" w:hAnsi="Arial" w:cs="Arial"/>
                <w:sz w:val="20"/>
              </w:rPr>
              <w:t xml:space="preserve"> to reflect the highest standards and practices</w:t>
            </w:r>
            <w:r w:rsidR="002676EA">
              <w:rPr>
                <w:rFonts w:ascii="Arial" w:hAnsi="Arial" w:cs="Arial"/>
                <w:sz w:val="20"/>
              </w:rPr>
              <w:t xml:space="preserve">. </w:t>
            </w:r>
            <w:r w:rsidRPr="00041224">
              <w:rPr>
                <w:rFonts w:ascii="Arial" w:hAnsi="Arial" w:cs="Arial"/>
                <w:sz w:val="20"/>
              </w:rPr>
              <w:t>We are also confident that our analyses of emerging behavioral health issues will enable DMHA to make informed decisions on future programs and initiative</w:t>
            </w:r>
            <w:r w:rsidR="0025799B">
              <w:rPr>
                <w:rFonts w:ascii="Arial" w:hAnsi="Arial" w:cs="Arial"/>
                <w:sz w:val="20"/>
              </w:rPr>
              <w:t>s t</w:t>
            </w:r>
            <w:r w:rsidR="00135645">
              <w:rPr>
                <w:rFonts w:ascii="Arial" w:hAnsi="Arial" w:cs="Arial"/>
                <w:sz w:val="20"/>
              </w:rPr>
              <w:t xml:space="preserve">hat will </w:t>
            </w:r>
            <w:r w:rsidR="002C053A">
              <w:rPr>
                <w:rFonts w:ascii="Arial" w:hAnsi="Arial" w:cs="Arial"/>
                <w:sz w:val="20"/>
              </w:rPr>
              <w:t>promot</w:t>
            </w:r>
            <w:r w:rsidR="00C04A6A">
              <w:rPr>
                <w:rFonts w:ascii="Arial" w:hAnsi="Arial" w:cs="Arial"/>
                <w:sz w:val="20"/>
              </w:rPr>
              <w:t>e</w:t>
            </w:r>
            <w:r w:rsidR="002C053A">
              <w:rPr>
                <w:rFonts w:ascii="Arial" w:hAnsi="Arial" w:cs="Arial"/>
                <w:sz w:val="20"/>
              </w:rPr>
              <w:t xml:space="preserve"> and </w:t>
            </w:r>
            <w:r w:rsidR="00C04A6A">
              <w:rPr>
                <w:rFonts w:ascii="Arial" w:hAnsi="Arial" w:cs="Arial"/>
                <w:sz w:val="20"/>
              </w:rPr>
              <w:t xml:space="preserve">support </w:t>
            </w:r>
            <w:r w:rsidR="00D56988">
              <w:rPr>
                <w:rFonts w:ascii="Arial" w:hAnsi="Arial" w:cs="Arial"/>
                <w:sz w:val="20"/>
              </w:rPr>
              <w:t xml:space="preserve">mental health and wellness for Hoosiers. </w:t>
            </w:r>
          </w:p>
          <w:p w14:paraId="46B2733D" w14:textId="441362E3" w:rsidR="0009502C" w:rsidRPr="00E20562" w:rsidRDefault="0009502C" w:rsidP="00BD4508">
            <w:pPr>
              <w:rPr>
                <w:rFonts w:ascii="Arial" w:hAnsi="Arial" w:cs="Arial"/>
                <w:sz w:val="20"/>
              </w:rPr>
            </w:pP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40463EFE" w14:textId="649459D5" w:rsidR="0009502C" w:rsidRDefault="007B6944" w:rsidP="0009502C">
            <w:pPr>
              <w:rPr>
                <w:rFonts w:ascii="Arial" w:hAnsi="Arial" w:cs="Arial"/>
                <w:sz w:val="20"/>
              </w:rPr>
            </w:pPr>
            <w:r w:rsidRPr="008578F9">
              <w:rPr>
                <w:rFonts w:ascii="Arial" w:hAnsi="Arial" w:cs="Arial"/>
                <w:sz w:val="20"/>
              </w:rPr>
              <w:t xml:space="preserve">Milliman's legal form of business is a corporation formed in the state of Washington in 1957. Milliman is among the world's largest providers of healthcare consulting and related products and services. The firm has consulting practices in healthcare, property &amp; casualty insurance, life insurance and financial services, and employee benefits. Founded in 1947, Milliman is an independent firm with offices in major cities around the globe. The breadth and depth of our knowledge also enables us to create customized solutions for our clients in an efficient and effective manner. As a firm, Milliman has provided actuarial services to state Medicaid agencies and health plans in over 40 states for more than 25 years. </w:t>
            </w:r>
            <w:r w:rsidRPr="001A463D">
              <w:rPr>
                <w:rFonts w:ascii="Arial" w:hAnsi="Arial" w:cs="Arial"/>
                <w:sz w:val="20"/>
              </w:rPr>
              <w:t xml:space="preserve">Please see </w:t>
            </w:r>
            <w:r w:rsidR="001A463D" w:rsidRPr="001A463D">
              <w:rPr>
                <w:rFonts w:ascii="Arial" w:hAnsi="Arial" w:cs="Arial"/>
                <w:sz w:val="20"/>
              </w:rPr>
              <w:t>Attachment 7 included with our proposal</w:t>
            </w:r>
            <w:r w:rsidRPr="001A463D">
              <w:rPr>
                <w:rFonts w:ascii="Arial" w:hAnsi="Arial" w:cs="Arial"/>
                <w:sz w:val="20"/>
              </w:rPr>
              <w:t xml:space="preserve"> for our corporate organizational chart.</w:t>
            </w:r>
          </w:p>
          <w:p w14:paraId="5871C53A" w14:textId="22054C20" w:rsidR="0009502C" w:rsidRPr="008578F9" w:rsidRDefault="0009502C" w:rsidP="0009502C">
            <w:pPr>
              <w:rPr>
                <w:rFonts w:ascii="Arial" w:hAnsi="Arial" w:cs="Arial"/>
                <w:sz w:val="20"/>
              </w:rPr>
            </w:pPr>
          </w:p>
        </w:tc>
      </w:tr>
    </w:tbl>
    <w:p w14:paraId="0FDEC456" w14:textId="77777777" w:rsidR="0009502C" w:rsidRPr="00A2550B" w:rsidRDefault="0009502C" w:rsidP="0009502C">
      <w:pPr>
        <w:rPr>
          <w:rFonts w:asciiTheme="minorHAnsi" w:hAnsiTheme="minorHAnsi" w:cstheme="minorHAnsi"/>
          <w:szCs w:val="24"/>
        </w:rPr>
      </w:pPr>
    </w:p>
    <w:p w14:paraId="08E30CE5" w14:textId="404CA385" w:rsidR="009255C1" w:rsidRPr="002F3BEF" w:rsidRDefault="00341828" w:rsidP="00DE7CBA">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w:t>
      </w:r>
      <w:r w:rsidR="00E860FF" w:rsidRPr="002F3BEF">
        <w:rPr>
          <w:rFonts w:asciiTheme="minorHAnsi" w:hAnsiTheme="minorHAnsi" w:cstheme="minorHAnsi"/>
          <w:b/>
          <w:bCs/>
          <w:szCs w:val="24"/>
        </w:rPr>
        <w:t>,</w:t>
      </w:r>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xml:space="preserve">, the State of Indiana sought to highlight the importance of this issue to the state. </w:t>
      </w:r>
      <w:r w:rsidR="00601A6F" w:rsidRPr="002F4F04">
        <w:rPr>
          <w:rFonts w:asciiTheme="minorHAnsi" w:hAnsiTheme="minorHAnsi" w:cstheme="minorHAnsi"/>
          <w:szCs w:val="24"/>
        </w:rPr>
        <w:t>Please share leadership plans or efforts to measure and prioritize diversity, equity</w:t>
      </w:r>
      <w:r w:rsidR="002F3BEF" w:rsidRPr="002F4F04">
        <w:rPr>
          <w:rFonts w:asciiTheme="minorHAnsi" w:hAnsiTheme="minorHAnsi" w:cstheme="minorHAnsi"/>
          <w:szCs w:val="24"/>
        </w:rPr>
        <w:t>,</w:t>
      </w:r>
      <w:r w:rsidR="00601A6F" w:rsidRPr="002F4F04">
        <w:rPr>
          <w:rFonts w:asciiTheme="minorHAnsi" w:hAnsiTheme="minorHAnsi" w:cstheme="minorHAnsi"/>
          <w:szCs w:val="24"/>
        </w:rPr>
        <w:t xml:space="preserve"> and inclusion. </w:t>
      </w:r>
      <w:r w:rsidR="00C4202B" w:rsidRPr="008D3F6D">
        <w:rPr>
          <w:rFonts w:asciiTheme="minorHAnsi" w:hAnsiTheme="minorHAnsi" w:cstheme="minorHAnsi"/>
          <w:szCs w:val="24"/>
        </w:rPr>
        <w:t xml:space="preserve">Also, </w:t>
      </w:r>
      <w:bookmarkStart w:id="1" w:name="_Hlk102987882"/>
      <w:r w:rsidR="00C4202B" w:rsidRPr="008D3F6D">
        <w:rPr>
          <w:rFonts w:asciiTheme="minorHAnsi" w:hAnsiTheme="minorHAnsi" w:cstheme="minorHAnsi"/>
          <w:szCs w:val="24"/>
        </w:rPr>
        <w:t xml:space="preserve">what is the demographic compositions of Respondents’ </w:t>
      </w:r>
      <w:r w:rsidR="00601A6F" w:rsidRPr="008D3F6D">
        <w:rPr>
          <w:rFonts w:asciiTheme="minorHAnsi" w:hAnsiTheme="minorHAnsi" w:cstheme="minorHAnsi"/>
          <w:szCs w:val="24"/>
        </w:rPr>
        <w:t xml:space="preserve">Executive Staff and Board Members, if applicable.  </w:t>
      </w:r>
      <w:bookmarkEnd w:id="0"/>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02792228" w14:textId="5B9F618C" w:rsidR="00BB3E13" w:rsidRPr="00267D07" w:rsidRDefault="00267D07" w:rsidP="002F4F04">
            <w:pPr>
              <w:rPr>
                <w:rFonts w:ascii="Arial" w:hAnsi="Arial" w:cs="Arial"/>
                <w:b/>
                <w:bCs/>
                <w:sz w:val="20"/>
              </w:rPr>
            </w:pPr>
            <w:r w:rsidRPr="00267D07">
              <w:rPr>
                <w:rFonts w:ascii="Arial" w:hAnsi="Arial" w:cs="Arial"/>
                <w:b/>
                <w:bCs/>
                <w:sz w:val="20"/>
              </w:rPr>
              <w:t xml:space="preserve">Milliman Efforts to </w:t>
            </w:r>
            <w:r>
              <w:rPr>
                <w:rFonts w:ascii="Arial" w:hAnsi="Arial" w:cs="Arial"/>
                <w:b/>
                <w:bCs/>
                <w:sz w:val="20"/>
              </w:rPr>
              <w:t>Measure and Prioritize Diversity, Equity, and Inclusion</w:t>
            </w:r>
          </w:p>
          <w:p w14:paraId="7353FBCE" w14:textId="56B74616" w:rsidR="002F4F04" w:rsidRPr="008578F9" w:rsidRDefault="002F4F04" w:rsidP="002F4F04">
            <w:pPr>
              <w:rPr>
                <w:rFonts w:ascii="Arial" w:hAnsi="Arial" w:cs="Arial"/>
                <w:sz w:val="20"/>
              </w:rPr>
            </w:pPr>
            <w:r w:rsidRPr="008578F9">
              <w:rPr>
                <w:rFonts w:ascii="Arial" w:hAnsi="Arial" w:cs="Arial"/>
                <w:sz w:val="20"/>
              </w:rPr>
              <w:t>Diversity, equity</w:t>
            </w:r>
            <w:r w:rsidR="00E860FF" w:rsidRPr="008578F9">
              <w:rPr>
                <w:rFonts w:ascii="Arial" w:hAnsi="Arial" w:cs="Arial"/>
                <w:sz w:val="20"/>
              </w:rPr>
              <w:t>,</w:t>
            </w:r>
            <w:r w:rsidRPr="008578F9">
              <w:rPr>
                <w:rFonts w:ascii="Arial" w:hAnsi="Arial" w:cs="Arial"/>
                <w:sz w:val="20"/>
              </w:rPr>
              <w:t xml:space="preserve"> and inclusion are core to Milliman’s mission to protect the health and financial well-being of people everywhere. In July 2020, Milliman’s global health practice director established our Racial Disparities in Healthcare initiative in response to employee interest in finding ways to use Milliman time, talent, and intellectual property to contribute to the conversation about race and equity both inside and outside our company.  The </w:t>
            </w:r>
            <w:proofErr w:type="spellStart"/>
            <w:r w:rsidRPr="008578F9">
              <w:rPr>
                <w:rFonts w:ascii="Arial" w:hAnsi="Arial" w:cs="Arial"/>
                <w:sz w:val="20"/>
              </w:rPr>
              <w:t>RDWG’s</w:t>
            </w:r>
            <w:proofErr w:type="spellEnd"/>
            <w:r w:rsidRPr="008578F9">
              <w:rPr>
                <w:rFonts w:ascii="Arial" w:hAnsi="Arial" w:cs="Arial"/>
                <w:sz w:val="20"/>
              </w:rPr>
              <w:t xml:space="preserve"> membership represents a diverse panel of Milliman consultants who work together to “promote research that shines a light on racial disparities in the healthcare system.”  The </w:t>
            </w:r>
            <w:proofErr w:type="spellStart"/>
            <w:r w:rsidRPr="008578F9">
              <w:rPr>
                <w:rFonts w:ascii="Arial" w:hAnsi="Arial" w:cs="Arial"/>
                <w:sz w:val="20"/>
              </w:rPr>
              <w:t>RDWG</w:t>
            </w:r>
            <w:proofErr w:type="spellEnd"/>
            <w:r w:rsidRPr="008578F9">
              <w:rPr>
                <w:rFonts w:ascii="Arial" w:hAnsi="Arial" w:cs="Arial"/>
                <w:sz w:val="20"/>
              </w:rPr>
              <w:t xml:space="preserve"> achieves this objective through: </w:t>
            </w:r>
          </w:p>
          <w:p w14:paraId="77EFFD1A" w14:textId="77777777" w:rsidR="002F4F04" w:rsidRPr="008578F9" w:rsidRDefault="002F4F04" w:rsidP="002F4F04">
            <w:pPr>
              <w:rPr>
                <w:rFonts w:ascii="Arial" w:hAnsi="Arial" w:cs="Arial"/>
                <w:sz w:val="20"/>
              </w:rPr>
            </w:pPr>
          </w:p>
          <w:p w14:paraId="4CCDC49B" w14:textId="3042D85F" w:rsidR="002F4F04" w:rsidRPr="008578F9" w:rsidRDefault="002F4F04" w:rsidP="00A46E29">
            <w:pPr>
              <w:pStyle w:val="ListParagraph"/>
              <w:numPr>
                <w:ilvl w:val="0"/>
                <w:numId w:val="28"/>
              </w:numPr>
              <w:rPr>
                <w:rFonts w:ascii="Arial" w:hAnsi="Arial" w:cs="Arial"/>
                <w:sz w:val="20"/>
              </w:rPr>
            </w:pPr>
            <w:r w:rsidRPr="008578F9">
              <w:rPr>
                <w:rFonts w:ascii="Arial" w:hAnsi="Arial" w:cs="Arial"/>
                <w:sz w:val="20"/>
              </w:rPr>
              <w:t xml:space="preserve">Proactively identifying, funding, and staffing Milliman health research projects on health equity. </w:t>
            </w:r>
          </w:p>
          <w:p w14:paraId="0CFC5962" w14:textId="3DB6CCD2" w:rsidR="002F4F04" w:rsidRPr="008578F9" w:rsidRDefault="002F4F04" w:rsidP="00A46E29">
            <w:pPr>
              <w:pStyle w:val="ListParagraph"/>
              <w:numPr>
                <w:ilvl w:val="0"/>
                <w:numId w:val="28"/>
              </w:numPr>
              <w:rPr>
                <w:rFonts w:ascii="Arial" w:hAnsi="Arial" w:cs="Arial"/>
                <w:sz w:val="20"/>
              </w:rPr>
            </w:pPr>
            <w:r w:rsidRPr="008578F9">
              <w:rPr>
                <w:rFonts w:ascii="Arial" w:hAnsi="Arial" w:cs="Arial"/>
                <w:sz w:val="20"/>
              </w:rPr>
              <w:t xml:space="preserve">Promoting team diversity for consulting projects to ensure that multiple points of view are represented. </w:t>
            </w:r>
          </w:p>
          <w:p w14:paraId="47FDCDBB" w14:textId="61150F00" w:rsidR="002F4F04" w:rsidRPr="008578F9" w:rsidRDefault="002F4F04" w:rsidP="00A46E29">
            <w:pPr>
              <w:pStyle w:val="ListParagraph"/>
              <w:numPr>
                <w:ilvl w:val="0"/>
                <w:numId w:val="28"/>
              </w:numPr>
              <w:rPr>
                <w:rFonts w:ascii="Arial" w:hAnsi="Arial" w:cs="Arial"/>
                <w:sz w:val="20"/>
              </w:rPr>
            </w:pPr>
            <w:r w:rsidRPr="008578F9">
              <w:rPr>
                <w:rFonts w:ascii="Arial" w:hAnsi="Arial" w:cs="Arial"/>
                <w:sz w:val="20"/>
              </w:rPr>
              <w:lastRenderedPageBreak/>
              <w:t xml:space="preserve">Reviewing project work to ensure sensitivity to our DEI objectives. </w:t>
            </w:r>
          </w:p>
          <w:p w14:paraId="6ECA638F" w14:textId="0A28BAD4" w:rsidR="002F4F04" w:rsidRPr="008578F9" w:rsidRDefault="002F4F04" w:rsidP="00A46E29">
            <w:pPr>
              <w:pStyle w:val="ListParagraph"/>
              <w:numPr>
                <w:ilvl w:val="0"/>
                <w:numId w:val="28"/>
              </w:numPr>
              <w:rPr>
                <w:rFonts w:ascii="Arial" w:hAnsi="Arial" w:cs="Arial"/>
                <w:sz w:val="20"/>
              </w:rPr>
            </w:pPr>
            <w:r w:rsidRPr="008578F9">
              <w:rPr>
                <w:rFonts w:ascii="Arial" w:hAnsi="Arial" w:cs="Arial"/>
                <w:sz w:val="20"/>
              </w:rPr>
              <w:t xml:space="preserve">Promoting overall awareness of developments and trends in racial disparities research, health equity, and the evolving national conversation about race and diversity.   </w:t>
            </w:r>
          </w:p>
          <w:p w14:paraId="655A62FA" w14:textId="77777777" w:rsidR="002F4F04" w:rsidRPr="008578F9" w:rsidRDefault="002F4F04" w:rsidP="002F4F04">
            <w:pPr>
              <w:rPr>
                <w:rFonts w:ascii="Arial" w:hAnsi="Arial" w:cs="Arial"/>
                <w:sz w:val="20"/>
              </w:rPr>
            </w:pPr>
          </w:p>
          <w:p w14:paraId="5793FEBD" w14:textId="3B799D91" w:rsidR="002F4F04" w:rsidRPr="008578F9" w:rsidRDefault="002F4F04" w:rsidP="002F4F04">
            <w:pPr>
              <w:rPr>
                <w:rFonts w:ascii="Arial" w:hAnsi="Arial" w:cs="Arial"/>
                <w:sz w:val="20"/>
              </w:rPr>
            </w:pPr>
            <w:r w:rsidRPr="008578F9">
              <w:rPr>
                <w:rFonts w:ascii="Arial" w:hAnsi="Arial" w:cs="Arial"/>
                <w:sz w:val="20"/>
              </w:rPr>
              <w:t>Since its launch the initiative has supported analysis-based research on topics including studies on:</w:t>
            </w:r>
          </w:p>
          <w:p w14:paraId="439E9426" w14:textId="77777777" w:rsidR="002F4F04" w:rsidRPr="008578F9" w:rsidRDefault="002F4F04" w:rsidP="002F4F04">
            <w:pPr>
              <w:rPr>
                <w:rFonts w:ascii="Arial" w:hAnsi="Arial" w:cs="Arial"/>
                <w:sz w:val="20"/>
              </w:rPr>
            </w:pPr>
          </w:p>
          <w:p w14:paraId="63A08468" w14:textId="2CAA0D0E" w:rsidR="002F4F04" w:rsidRPr="008578F9" w:rsidRDefault="002F4F04" w:rsidP="002F4F04">
            <w:pPr>
              <w:pStyle w:val="ListParagraph"/>
              <w:numPr>
                <w:ilvl w:val="0"/>
                <w:numId w:val="25"/>
              </w:numPr>
              <w:rPr>
                <w:rFonts w:ascii="Arial" w:hAnsi="Arial" w:cs="Arial"/>
                <w:sz w:val="20"/>
              </w:rPr>
            </w:pPr>
            <w:r w:rsidRPr="008578F9">
              <w:rPr>
                <w:rFonts w:ascii="Arial" w:hAnsi="Arial" w:cs="Arial"/>
                <w:sz w:val="20"/>
              </w:rPr>
              <w:t>Disparities in cardiovascular conditions experienced by Black people compared with that of white people</w:t>
            </w:r>
          </w:p>
          <w:p w14:paraId="20046B44" w14:textId="5D01AF14" w:rsidR="002F4F04" w:rsidRPr="008578F9" w:rsidRDefault="002F4F04" w:rsidP="002F4F04">
            <w:pPr>
              <w:pStyle w:val="ListParagraph"/>
              <w:numPr>
                <w:ilvl w:val="0"/>
                <w:numId w:val="25"/>
              </w:numPr>
              <w:rPr>
                <w:rFonts w:ascii="Arial" w:hAnsi="Arial" w:cs="Arial"/>
                <w:sz w:val="20"/>
              </w:rPr>
            </w:pPr>
            <w:r w:rsidRPr="008578F9">
              <w:rPr>
                <w:rFonts w:ascii="Arial" w:hAnsi="Arial" w:cs="Arial"/>
                <w:sz w:val="20"/>
              </w:rPr>
              <w:t>Specific oral healthcare measures and the impact of racial disparities on access to dental services</w:t>
            </w:r>
          </w:p>
          <w:p w14:paraId="6493CF3E" w14:textId="5F4BEF17" w:rsidR="002F4F04" w:rsidRPr="008578F9" w:rsidRDefault="002F4F04" w:rsidP="002F4F04">
            <w:pPr>
              <w:pStyle w:val="ListParagraph"/>
              <w:numPr>
                <w:ilvl w:val="0"/>
                <w:numId w:val="25"/>
              </w:numPr>
              <w:rPr>
                <w:rFonts w:ascii="Arial" w:hAnsi="Arial" w:cs="Arial"/>
                <w:sz w:val="20"/>
              </w:rPr>
            </w:pPr>
            <w:r w:rsidRPr="008578F9">
              <w:rPr>
                <w:rFonts w:ascii="Arial" w:hAnsi="Arial" w:cs="Arial"/>
                <w:sz w:val="20"/>
              </w:rPr>
              <w:t>Developing fair models; avoiding bias in artificial intelligence models</w:t>
            </w:r>
          </w:p>
          <w:p w14:paraId="15825890" w14:textId="419BBA84" w:rsidR="002F4F04" w:rsidRPr="008578F9" w:rsidRDefault="002F4F04" w:rsidP="002F4F04">
            <w:pPr>
              <w:pStyle w:val="ListParagraph"/>
              <w:numPr>
                <w:ilvl w:val="0"/>
                <w:numId w:val="25"/>
              </w:numPr>
              <w:rPr>
                <w:rFonts w:ascii="Arial" w:hAnsi="Arial" w:cs="Arial"/>
                <w:sz w:val="20"/>
              </w:rPr>
            </w:pPr>
            <w:r w:rsidRPr="008578F9">
              <w:rPr>
                <w:rFonts w:ascii="Arial" w:hAnsi="Arial" w:cs="Arial"/>
                <w:sz w:val="20"/>
              </w:rPr>
              <w:t xml:space="preserve">The relationship between race and access to preventive services for patients with type-2 diabetes </w:t>
            </w:r>
          </w:p>
          <w:p w14:paraId="448C5A63" w14:textId="1C6E8FFF" w:rsidR="002F4F04" w:rsidRPr="008578F9" w:rsidRDefault="002F4F04" w:rsidP="002F4F04">
            <w:pPr>
              <w:pStyle w:val="ListParagraph"/>
              <w:numPr>
                <w:ilvl w:val="0"/>
                <w:numId w:val="25"/>
              </w:numPr>
              <w:rPr>
                <w:rFonts w:ascii="Arial" w:hAnsi="Arial" w:cs="Arial"/>
                <w:sz w:val="20"/>
              </w:rPr>
            </w:pPr>
            <w:r w:rsidRPr="008578F9">
              <w:rPr>
                <w:rFonts w:ascii="Arial" w:hAnsi="Arial" w:cs="Arial"/>
                <w:sz w:val="20"/>
              </w:rPr>
              <w:t>The impact of redlining on access to healthcare services</w:t>
            </w:r>
          </w:p>
          <w:p w14:paraId="57746C25" w14:textId="77777777" w:rsidR="002F4F04" w:rsidRPr="008578F9" w:rsidRDefault="002F4F04" w:rsidP="002F4F04">
            <w:pPr>
              <w:rPr>
                <w:rFonts w:ascii="Arial" w:hAnsi="Arial" w:cs="Arial"/>
                <w:sz w:val="20"/>
              </w:rPr>
            </w:pPr>
          </w:p>
          <w:p w14:paraId="28659BAA" w14:textId="24DA7E87" w:rsidR="002F4F04" w:rsidRPr="008578F9" w:rsidRDefault="002F4F04" w:rsidP="002F4F04">
            <w:pPr>
              <w:rPr>
                <w:rFonts w:ascii="Arial" w:hAnsi="Arial" w:cs="Arial"/>
                <w:sz w:val="20"/>
              </w:rPr>
            </w:pPr>
            <w:r w:rsidRPr="008578F9">
              <w:rPr>
                <w:rFonts w:ascii="Arial" w:hAnsi="Arial" w:cs="Arial"/>
                <w:sz w:val="20"/>
              </w:rPr>
              <w:t xml:space="preserve">Milliman is also </w:t>
            </w:r>
            <w:r w:rsidR="00405EE0">
              <w:rPr>
                <w:rFonts w:ascii="Arial" w:hAnsi="Arial" w:cs="Arial"/>
                <w:sz w:val="20"/>
              </w:rPr>
              <w:t>actively</w:t>
            </w:r>
            <w:r>
              <w:rPr>
                <w:rFonts w:ascii="Arial" w:hAnsi="Arial" w:cs="Arial"/>
                <w:sz w:val="20"/>
              </w:rPr>
              <w:t xml:space="preserve"> </w:t>
            </w:r>
            <w:r w:rsidRPr="008578F9">
              <w:rPr>
                <w:rFonts w:ascii="Arial" w:hAnsi="Arial" w:cs="Arial"/>
                <w:sz w:val="20"/>
              </w:rPr>
              <w:t>working to identify and compile healthcare data sources that can be used to support racial disparities researchers both inside and outside Milliman.  By including everyone and drawing on differences in who we are, what we have experienced, and how we think, we are able to deliver services that exceed the expectations of our clients, strengthen our communities, and provide opportunities for all. We are driven by the understanding that our actions have long-term effects on our employees, our clients, and ultimately, society.</w:t>
            </w:r>
          </w:p>
          <w:p w14:paraId="5D118287" w14:textId="77777777" w:rsidR="002F4F04" w:rsidRPr="008578F9" w:rsidRDefault="002F4F04" w:rsidP="002F4F04">
            <w:pPr>
              <w:rPr>
                <w:rFonts w:ascii="Arial" w:hAnsi="Arial" w:cs="Arial"/>
                <w:sz w:val="20"/>
              </w:rPr>
            </w:pPr>
          </w:p>
          <w:p w14:paraId="03C9509C" w14:textId="45600305" w:rsidR="002F4F04" w:rsidRPr="008578F9" w:rsidRDefault="002F4F04" w:rsidP="002F4F04">
            <w:pPr>
              <w:rPr>
                <w:rFonts w:ascii="Arial" w:hAnsi="Arial" w:cs="Arial"/>
                <w:sz w:val="20"/>
              </w:rPr>
            </w:pPr>
            <w:r w:rsidRPr="008578F9">
              <w:rPr>
                <w:rFonts w:ascii="Arial" w:hAnsi="Arial" w:cs="Arial"/>
                <w:sz w:val="20"/>
              </w:rPr>
              <w:t>Milliman is proud to have a strong relationship with many minority</w:t>
            </w:r>
            <w:r w:rsidR="00E860FF">
              <w:rPr>
                <w:rFonts w:ascii="Arial" w:hAnsi="Arial" w:cs="Arial"/>
                <w:sz w:val="20"/>
              </w:rPr>
              <w:t>-</w:t>
            </w:r>
            <w:r w:rsidRPr="008578F9">
              <w:rPr>
                <w:rFonts w:ascii="Arial" w:hAnsi="Arial" w:cs="Arial"/>
                <w:sz w:val="20"/>
              </w:rPr>
              <w:t xml:space="preserve"> and women</w:t>
            </w:r>
            <w:r w:rsidR="00E860FF">
              <w:rPr>
                <w:rFonts w:ascii="Arial" w:hAnsi="Arial" w:cs="Arial"/>
                <w:sz w:val="20"/>
              </w:rPr>
              <w:t>-</w:t>
            </w:r>
            <w:r w:rsidRPr="008578F9">
              <w:rPr>
                <w:rFonts w:ascii="Arial" w:hAnsi="Arial" w:cs="Arial"/>
                <w:sz w:val="20"/>
              </w:rPr>
              <w:t xml:space="preserve">owned businesses. As a vendor supporting public sector agencies throughout the United States, we actively cultivate, secure, and mentor underrepresented businesses. </w:t>
            </w:r>
            <w:r w:rsidR="00F01F90" w:rsidRPr="008578F9">
              <w:rPr>
                <w:rFonts w:ascii="Arial" w:hAnsi="Arial" w:cs="Arial"/>
                <w:sz w:val="20"/>
              </w:rPr>
              <w:t xml:space="preserve">We have </w:t>
            </w:r>
            <w:r w:rsidR="008364D9" w:rsidRPr="008578F9">
              <w:rPr>
                <w:rFonts w:ascii="Arial" w:hAnsi="Arial" w:cs="Arial"/>
                <w:sz w:val="20"/>
              </w:rPr>
              <w:t xml:space="preserve">also </w:t>
            </w:r>
            <w:r w:rsidR="00F01F90" w:rsidRPr="008578F9">
              <w:rPr>
                <w:rFonts w:ascii="Arial" w:hAnsi="Arial" w:cs="Arial"/>
                <w:sz w:val="20"/>
              </w:rPr>
              <w:t xml:space="preserve">developed a formal supplier diversity program, and in June 2022, we are hosting our annual Small and Diverse Subcontractor Symposium. Through this outreach, we grow our supplier base while continuing to develop relationships and mentor businesses within our network. </w:t>
            </w:r>
            <w:r w:rsidRPr="008578F9">
              <w:rPr>
                <w:rFonts w:ascii="Arial" w:hAnsi="Arial" w:cs="Arial"/>
                <w:sz w:val="20"/>
              </w:rPr>
              <w:t xml:space="preserve">Our focus on partnering with minority and women owned business has led us to 10 state contracts where we bring MBEs and </w:t>
            </w:r>
            <w:proofErr w:type="spellStart"/>
            <w:r w:rsidRPr="008578F9">
              <w:rPr>
                <w:rFonts w:ascii="Arial" w:hAnsi="Arial" w:cs="Arial"/>
                <w:sz w:val="20"/>
              </w:rPr>
              <w:t>WBEs</w:t>
            </w:r>
            <w:proofErr w:type="spellEnd"/>
            <w:r w:rsidRPr="008578F9">
              <w:rPr>
                <w:rFonts w:ascii="Arial" w:hAnsi="Arial" w:cs="Arial"/>
                <w:sz w:val="20"/>
              </w:rPr>
              <w:t xml:space="preserve"> to the table including:  Alaska, Illinois, Indiana, Kentucky, Michigan, New York, Ohio, Pennsylvania, and South Carolina. </w:t>
            </w:r>
          </w:p>
          <w:p w14:paraId="5E470523" w14:textId="77777777" w:rsidR="00C35A1F" w:rsidRPr="008578F9" w:rsidRDefault="00C35A1F" w:rsidP="002F4F04">
            <w:pPr>
              <w:rPr>
                <w:rFonts w:ascii="Arial" w:hAnsi="Arial" w:cs="Arial"/>
                <w:sz w:val="20"/>
              </w:rPr>
            </w:pPr>
          </w:p>
          <w:p w14:paraId="59973FD3" w14:textId="759CFF29" w:rsidR="00C35A1F" w:rsidRPr="008578F9" w:rsidRDefault="00C35A1F" w:rsidP="00C35A1F">
            <w:pPr>
              <w:rPr>
                <w:rFonts w:ascii="Arial" w:hAnsi="Arial" w:cs="Arial"/>
                <w:sz w:val="20"/>
              </w:rPr>
            </w:pPr>
            <w:r w:rsidRPr="008578F9">
              <w:rPr>
                <w:rFonts w:ascii="Arial" w:hAnsi="Arial" w:cs="Arial"/>
                <w:sz w:val="20"/>
              </w:rPr>
              <w:t xml:space="preserve">We further demonstrate our commitment to these principles through </w:t>
            </w:r>
            <w:r w:rsidR="00331F48" w:rsidRPr="008578F9">
              <w:rPr>
                <w:rFonts w:ascii="Arial" w:hAnsi="Arial" w:cs="Arial"/>
                <w:sz w:val="20"/>
              </w:rPr>
              <w:t xml:space="preserve">community investments and </w:t>
            </w:r>
            <w:r w:rsidRPr="008578F9">
              <w:rPr>
                <w:rFonts w:ascii="Arial" w:hAnsi="Arial" w:cs="Arial"/>
                <w:sz w:val="20"/>
              </w:rPr>
              <w:t xml:space="preserve">activities such as: </w:t>
            </w:r>
          </w:p>
          <w:p w14:paraId="1A787352" w14:textId="77777777" w:rsidR="00C35A1F" w:rsidRPr="008578F9" w:rsidRDefault="00C35A1F" w:rsidP="00C35A1F">
            <w:pPr>
              <w:rPr>
                <w:rFonts w:ascii="Arial" w:hAnsi="Arial" w:cs="Arial"/>
                <w:sz w:val="20"/>
              </w:rPr>
            </w:pPr>
          </w:p>
          <w:p w14:paraId="19ECD953" w14:textId="77777777" w:rsidR="00C35A1F" w:rsidRPr="008578F9" w:rsidRDefault="00C35A1F" w:rsidP="00E860FF">
            <w:pPr>
              <w:pStyle w:val="ListParagraph"/>
              <w:numPr>
                <w:ilvl w:val="0"/>
                <w:numId w:val="33"/>
              </w:numPr>
              <w:rPr>
                <w:rFonts w:ascii="Arial" w:hAnsi="Arial" w:cs="Arial"/>
                <w:sz w:val="20"/>
              </w:rPr>
            </w:pPr>
            <w:r w:rsidRPr="008578F9">
              <w:rPr>
                <w:rFonts w:ascii="Arial" w:hAnsi="Arial" w:cs="Arial"/>
                <w:sz w:val="20"/>
              </w:rPr>
              <w:t>Financial and advisory support to the International Association of Black Actuaries and the Organization of Latino Actuaries</w:t>
            </w:r>
          </w:p>
          <w:p w14:paraId="2E59F209" w14:textId="77777777" w:rsidR="00C35A1F" w:rsidRPr="008578F9" w:rsidRDefault="00C35A1F" w:rsidP="00E860FF">
            <w:pPr>
              <w:pStyle w:val="ListParagraph"/>
              <w:numPr>
                <w:ilvl w:val="0"/>
                <w:numId w:val="33"/>
              </w:numPr>
              <w:rPr>
                <w:rFonts w:ascii="Arial" w:hAnsi="Arial" w:cs="Arial"/>
                <w:sz w:val="20"/>
              </w:rPr>
            </w:pPr>
            <w:r w:rsidRPr="008578F9">
              <w:rPr>
                <w:rFonts w:ascii="Arial" w:hAnsi="Arial" w:cs="Arial"/>
                <w:sz w:val="20"/>
              </w:rPr>
              <w:t xml:space="preserve">The Milliman Opportunity Scholarship for college students pursuing STEM majors who are members of ethnic groups and races that are under-represented in these fields </w:t>
            </w:r>
          </w:p>
          <w:p w14:paraId="4BA7158A" w14:textId="77777777" w:rsidR="00C35A1F" w:rsidRPr="008578F9" w:rsidRDefault="00C35A1F" w:rsidP="00E860FF">
            <w:pPr>
              <w:pStyle w:val="ListParagraph"/>
              <w:numPr>
                <w:ilvl w:val="0"/>
                <w:numId w:val="33"/>
              </w:numPr>
              <w:rPr>
                <w:rFonts w:ascii="Arial" w:hAnsi="Arial" w:cs="Arial"/>
                <w:sz w:val="20"/>
              </w:rPr>
            </w:pPr>
            <w:r w:rsidRPr="008578F9">
              <w:rPr>
                <w:rFonts w:ascii="Arial" w:hAnsi="Arial" w:cs="Arial"/>
                <w:sz w:val="20"/>
              </w:rPr>
              <w:t xml:space="preserve">Financial support of the Equal Justice Initiative and Facing History and Ourselves </w:t>
            </w:r>
          </w:p>
          <w:p w14:paraId="63F239E7" w14:textId="77777777" w:rsidR="00C35A1F" w:rsidRPr="008578F9" w:rsidRDefault="00C35A1F" w:rsidP="00E860FF">
            <w:pPr>
              <w:pStyle w:val="ListParagraph"/>
              <w:numPr>
                <w:ilvl w:val="0"/>
                <w:numId w:val="33"/>
              </w:numPr>
              <w:rPr>
                <w:rFonts w:ascii="Arial" w:hAnsi="Arial" w:cs="Arial"/>
                <w:sz w:val="20"/>
              </w:rPr>
            </w:pPr>
            <w:r w:rsidRPr="008578F9">
              <w:rPr>
                <w:rFonts w:ascii="Arial" w:hAnsi="Arial" w:cs="Arial"/>
                <w:sz w:val="20"/>
              </w:rPr>
              <w:t>Financial and volunteer support to the Actuarial Foundation Math Motivators program, tutoring students in mathematics in diverse school districts in underserved communities</w:t>
            </w:r>
          </w:p>
          <w:p w14:paraId="5EA44CE6" w14:textId="77777777" w:rsidR="00C35A1F" w:rsidRPr="008578F9" w:rsidRDefault="00C35A1F" w:rsidP="00E860FF">
            <w:pPr>
              <w:pStyle w:val="ListParagraph"/>
              <w:numPr>
                <w:ilvl w:val="0"/>
                <w:numId w:val="33"/>
              </w:numPr>
              <w:rPr>
                <w:rFonts w:ascii="Arial" w:hAnsi="Arial" w:cs="Arial"/>
                <w:sz w:val="20"/>
              </w:rPr>
            </w:pPr>
            <w:r w:rsidRPr="008578F9">
              <w:rPr>
                <w:rFonts w:ascii="Arial" w:hAnsi="Arial" w:cs="Arial"/>
                <w:sz w:val="20"/>
              </w:rPr>
              <w:t>Supporting the Microinsurance Centre at Milliman which advises governments, non-governmental organizations, and private companies on using microinsurance products to help protect vulnerable populations against risk.</w:t>
            </w:r>
          </w:p>
          <w:p w14:paraId="6B3AE4EF" w14:textId="77777777" w:rsidR="007B0037" w:rsidRPr="008578F9" w:rsidRDefault="007B0037" w:rsidP="002F4F04">
            <w:pPr>
              <w:rPr>
                <w:rFonts w:ascii="Arial" w:hAnsi="Arial" w:cs="Arial"/>
                <w:sz w:val="20"/>
              </w:rPr>
            </w:pPr>
          </w:p>
          <w:p w14:paraId="1B11D9CF" w14:textId="042A0AB4" w:rsidR="002F4F04" w:rsidRPr="008578F9" w:rsidRDefault="002F4F04" w:rsidP="002F4F04">
            <w:pPr>
              <w:rPr>
                <w:rFonts w:ascii="Arial" w:hAnsi="Arial" w:cs="Arial"/>
                <w:sz w:val="20"/>
              </w:rPr>
            </w:pPr>
            <w:r w:rsidRPr="008578F9">
              <w:rPr>
                <w:rFonts w:ascii="Arial" w:hAnsi="Arial" w:cs="Arial"/>
                <w:sz w:val="20"/>
              </w:rPr>
              <w:t xml:space="preserve">At Milliman we strive to protect people’s health and financial well-being as core to our mission. We encourage the state to explore our commitment to equity on our website at </w:t>
            </w:r>
            <w:hyperlink r:id="rId9" w:history="1">
              <w:r w:rsidRPr="008578F9">
                <w:rPr>
                  <w:rStyle w:val="Hyperlink"/>
                  <w:rFonts w:ascii="Arial" w:hAnsi="Arial" w:cs="Arial"/>
                  <w:sz w:val="20"/>
                </w:rPr>
                <w:t>https://www.milliman.com/en/social-impact</w:t>
              </w:r>
            </w:hyperlink>
            <w:r w:rsidRPr="008578F9">
              <w:rPr>
                <w:rFonts w:ascii="Arial" w:hAnsi="Arial" w:cs="Arial"/>
                <w:sz w:val="20"/>
              </w:rPr>
              <w:t>. Our commitment to social impact and sustainability (SIS) is a visible aspect in everything we do.  We consistently frame it in terms of Our Work, Our People, and Our World</w:t>
            </w:r>
            <w:r w:rsidR="003C25CD">
              <w:rPr>
                <w:rFonts w:ascii="Arial" w:hAnsi="Arial" w:cs="Arial"/>
                <w:sz w:val="20"/>
              </w:rPr>
              <w:t>:</w:t>
            </w:r>
          </w:p>
          <w:p w14:paraId="16DD8AAE" w14:textId="77777777" w:rsidR="002F4F04" w:rsidRPr="008578F9" w:rsidRDefault="002F4F04" w:rsidP="002F4F04">
            <w:pPr>
              <w:rPr>
                <w:rFonts w:ascii="Arial" w:hAnsi="Arial" w:cs="Arial"/>
                <w:sz w:val="20"/>
              </w:rPr>
            </w:pPr>
          </w:p>
          <w:p w14:paraId="4C1DFCB1" w14:textId="22B2AB92" w:rsidR="002F4F04" w:rsidRPr="008578F9" w:rsidRDefault="002F4F04" w:rsidP="00E860FF">
            <w:pPr>
              <w:pStyle w:val="ListParagraph"/>
              <w:numPr>
                <w:ilvl w:val="0"/>
                <w:numId w:val="31"/>
              </w:numPr>
              <w:rPr>
                <w:rFonts w:ascii="Arial" w:hAnsi="Arial" w:cs="Arial"/>
                <w:sz w:val="20"/>
              </w:rPr>
            </w:pPr>
            <w:r w:rsidRPr="008578F9">
              <w:rPr>
                <w:rFonts w:ascii="Arial" w:hAnsi="Arial" w:cs="Arial"/>
                <w:b/>
                <w:sz w:val="20"/>
              </w:rPr>
              <w:t xml:space="preserve">Our Work </w:t>
            </w:r>
            <w:r w:rsidRPr="008578F9">
              <w:rPr>
                <w:rFonts w:ascii="Arial" w:hAnsi="Arial" w:cs="Arial"/>
                <w:sz w:val="20"/>
              </w:rPr>
              <w:t xml:space="preserve">allows us to serve a full spectrum of business, financial, government, union, </w:t>
            </w:r>
            <w:r w:rsidRPr="008578F9">
              <w:rPr>
                <w:rFonts w:ascii="Arial" w:hAnsi="Arial" w:cs="Arial"/>
                <w:sz w:val="20"/>
              </w:rPr>
              <w:lastRenderedPageBreak/>
              <w:t xml:space="preserve">education, and nonprofit organizations. Milliman’s body of consulting professionals is both deep and wide, including the full range of professional expertise needed to support our four primary practice areas: healthcare, life insurance and financial services, property and casualty, and employee benefits. Our teams work together to achieve our company’s mission to protect the health and wellness of people everywhere.  </w:t>
            </w:r>
          </w:p>
          <w:p w14:paraId="3573F715" w14:textId="77777777" w:rsidR="002F4F04" w:rsidRPr="008578F9" w:rsidRDefault="002F4F04" w:rsidP="002F4F04">
            <w:pPr>
              <w:rPr>
                <w:rFonts w:ascii="Arial" w:hAnsi="Arial" w:cs="Arial"/>
                <w:sz w:val="20"/>
              </w:rPr>
            </w:pPr>
          </w:p>
          <w:p w14:paraId="2A33ED2E" w14:textId="052B5F50" w:rsidR="002F4F04" w:rsidRPr="008578F9" w:rsidRDefault="002F4F04" w:rsidP="00E860FF">
            <w:pPr>
              <w:pStyle w:val="ListParagraph"/>
              <w:numPr>
                <w:ilvl w:val="0"/>
                <w:numId w:val="31"/>
              </w:numPr>
              <w:rPr>
                <w:rFonts w:ascii="Arial" w:hAnsi="Arial" w:cs="Arial"/>
                <w:sz w:val="20"/>
              </w:rPr>
            </w:pPr>
            <w:r w:rsidRPr="008578F9">
              <w:rPr>
                <w:rFonts w:ascii="Arial" w:hAnsi="Arial" w:cs="Arial"/>
                <w:b/>
                <w:sz w:val="20"/>
              </w:rPr>
              <w:t>Our People</w:t>
            </w:r>
            <w:r w:rsidRPr="008578F9">
              <w:rPr>
                <w:rFonts w:ascii="Arial" w:hAnsi="Arial" w:cs="Arial"/>
                <w:sz w:val="20"/>
              </w:rPr>
              <w:t xml:space="preserve"> are our most precious resource, and our goal is to create an environment that recognizes and meets our employees’ personal and professional needs. The Racial Disparities Work Group (</w:t>
            </w:r>
            <w:proofErr w:type="spellStart"/>
            <w:r w:rsidRPr="008578F9">
              <w:rPr>
                <w:rFonts w:ascii="Arial" w:hAnsi="Arial" w:cs="Arial"/>
                <w:sz w:val="20"/>
              </w:rPr>
              <w:t>RDWG</w:t>
            </w:r>
            <w:proofErr w:type="spellEnd"/>
            <w:r w:rsidRPr="008578F9">
              <w:rPr>
                <w:rFonts w:ascii="Arial" w:hAnsi="Arial" w:cs="Arial"/>
                <w:sz w:val="20"/>
              </w:rPr>
              <w:t>) is one example of how we are actively supporting employee interest in SIS.  Other examples include our Employee Resource Groups (ERG), which are employee-led groups empowered to influence policies, develop future leaders, and increase employee engagement.  These groups, which are</w:t>
            </w:r>
            <w:r w:rsidRPr="00E860FF">
              <w:rPr>
                <w:rFonts w:ascii="Arial" w:hAnsi="Arial" w:cs="Arial"/>
                <w:sz w:val="20"/>
              </w:rPr>
              <w:t xml:space="preserve"> </w:t>
            </w:r>
            <w:r w:rsidR="00E860FF" w:rsidRPr="00E860FF">
              <w:rPr>
                <w:rFonts w:ascii="Arial" w:hAnsi="Arial" w:cs="Arial"/>
                <w:sz w:val="20"/>
              </w:rPr>
              <w:t>each</w:t>
            </w:r>
            <w:r w:rsidRPr="008578F9">
              <w:rPr>
                <w:rFonts w:ascii="Arial" w:hAnsi="Arial" w:cs="Arial"/>
                <w:sz w:val="20"/>
              </w:rPr>
              <w:t xml:space="preserve"> formed around a common interest, background, or demographic factor, include the Milliman Black ERG, Military and Veterans ERG, </w:t>
            </w:r>
            <w:proofErr w:type="spellStart"/>
            <w:r w:rsidRPr="008578F9">
              <w:rPr>
                <w:rFonts w:ascii="Arial" w:hAnsi="Arial" w:cs="Arial"/>
                <w:sz w:val="20"/>
              </w:rPr>
              <w:t>MilliWomen</w:t>
            </w:r>
            <w:proofErr w:type="spellEnd"/>
            <w:r w:rsidRPr="008578F9">
              <w:rPr>
                <w:rFonts w:ascii="Arial" w:hAnsi="Arial" w:cs="Arial"/>
                <w:sz w:val="20"/>
              </w:rPr>
              <w:t xml:space="preserve"> ERG, Pride ERG, and Unidos ERG.  </w:t>
            </w:r>
          </w:p>
          <w:p w14:paraId="022F566F" w14:textId="77777777" w:rsidR="00AF36BF" w:rsidRPr="008578F9" w:rsidRDefault="00AF36BF" w:rsidP="002F4F04">
            <w:pPr>
              <w:rPr>
                <w:rFonts w:ascii="Arial" w:hAnsi="Arial" w:cs="Arial"/>
                <w:b/>
                <w:sz w:val="20"/>
              </w:rPr>
            </w:pPr>
          </w:p>
          <w:p w14:paraId="012BE8C4" w14:textId="49089514" w:rsidR="009255C1" w:rsidRDefault="002F4F04" w:rsidP="00E860FF">
            <w:pPr>
              <w:pStyle w:val="ListParagraph"/>
              <w:numPr>
                <w:ilvl w:val="0"/>
                <w:numId w:val="31"/>
              </w:numPr>
              <w:rPr>
                <w:rFonts w:ascii="Arial" w:hAnsi="Arial" w:cs="Arial"/>
                <w:sz w:val="20"/>
              </w:rPr>
            </w:pPr>
            <w:r w:rsidRPr="008578F9">
              <w:rPr>
                <w:rFonts w:ascii="Arial" w:hAnsi="Arial" w:cs="Arial"/>
                <w:b/>
                <w:sz w:val="20"/>
              </w:rPr>
              <w:t>Our World</w:t>
            </w:r>
            <w:r w:rsidRPr="008578F9">
              <w:rPr>
                <w:rFonts w:ascii="Arial" w:hAnsi="Arial" w:cs="Arial"/>
                <w:sz w:val="20"/>
              </w:rPr>
              <w:t xml:space="preserve"> dedicates us to giving back in our communities where we live and work and taking responsibility for our impact on the environment. Throughout our history, consultants and staff have generously contributed their time and talents to improve the quality of life in our communities. Some of these contributions include Milliman offices supporting organized volunteer activities for employees and their families to serve their communities, ongoing support of the Wendell Milliman Scholarship Fund and the Stuart Robertson Memorial Scholarship and participating in a matching gift program that matches employee contributions to registered nonprofit organizations.</w:t>
            </w:r>
          </w:p>
          <w:p w14:paraId="26EC8889" w14:textId="77777777" w:rsidR="006C6A87" w:rsidRDefault="006C6A87" w:rsidP="002F4F04">
            <w:pPr>
              <w:rPr>
                <w:rFonts w:ascii="Arial" w:hAnsi="Arial" w:cs="Arial"/>
                <w:sz w:val="20"/>
              </w:rPr>
            </w:pPr>
          </w:p>
          <w:p w14:paraId="67021389" w14:textId="26E44570" w:rsidR="00267D07" w:rsidRPr="00267D07" w:rsidRDefault="00267D07" w:rsidP="002F4F04">
            <w:pPr>
              <w:rPr>
                <w:rFonts w:ascii="Arial" w:hAnsi="Arial" w:cs="Arial"/>
                <w:b/>
                <w:bCs/>
                <w:sz w:val="16"/>
                <w:szCs w:val="16"/>
              </w:rPr>
            </w:pPr>
            <w:r>
              <w:rPr>
                <w:rFonts w:ascii="Arial" w:hAnsi="Arial" w:cs="Arial"/>
                <w:b/>
                <w:bCs/>
                <w:sz w:val="20"/>
              </w:rPr>
              <w:t>D</w:t>
            </w:r>
            <w:r w:rsidRPr="00267D07">
              <w:rPr>
                <w:rFonts w:ascii="Arial" w:hAnsi="Arial" w:cs="Arial"/>
                <w:b/>
                <w:bCs/>
                <w:sz w:val="20"/>
              </w:rPr>
              <w:t xml:space="preserve">emographic </w:t>
            </w:r>
            <w:r>
              <w:rPr>
                <w:rFonts w:ascii="Arial" w:hAnsi="Arial" w:cs="Arial"/>
                <w:b/>
                <w:bCs/>
                <w:sz w:val="20"/>
              </w:rPr>
              <w:t>C</w:t>
            </w:r>
            <w:r w:rsidRPr="00267D07">
              <w:rPr>
                <w:rFonts w:ascii="Arial" w:hAnsi="Arial" w:cs="Arial"/>
                <w:b/>
                <w:bCs/>
                <w:sz w:val="20"/>
              </w:rPr>
              <w:t xml:space="preserve">ompositions of </w:t>
            </w:r>
            <w:r>
              <w:rPr>
                <w:rFonts w:ascii="Arial" w:hAnsi="Arial" w:cs="Arial"/>
                <w:b/>
                <w:bCs/>
                <w:sz w:val="20"/>
              </w:rPr>
              <w:t>Milliman’s</w:t>
            </w:r>
            <w:r w:rsidRPr="00267D07">
              <w:rPr>
                <w:rFonts w:ascii="Arial" w:hAnsi="Arial" w:cs="Arial"/>
                <w:b/>
                <w:bCs/>
                <w:sz w:val="20"/>
              </w:rPr>
              <w:t xml:space="preserve"> Executive Staff</w:t>
            </w:r>
            <w:r>
              <w:rPr>
                <w:rFonts w:ascii="Arial" w:hAnsi="Arial" w:cs="Arial"/>
                <w:b/>
                <w:bCs/>
                <w:sz w:val="20"/>
              </w:rPr>
              <w:t>/</w:t>
            </w:r>
            <w:r w:rsidRPr="00267D07">
              <w:rPr>
                <w:rFonts w:ascii="Arial" w:hAnsi="Arial" w:cs="Arial"/>
                <w:b/>
                <w:bCs/>
                <w:sz w:val="20"/>
              </w:rPr>
              <w:t xml:space="preserve">Board </w:t>
            </w:r>
          </w:p>
          <w:p w14:paraId="0F5C7ECB" w14:textId="125B2495" w:rsidR="006C6A87" w:rsidRDefault="003C25CD" w:rsidP="002F4F04">
            <w:pPr>
              <w:rPr>
                <w:rFonts w:ascii="Arial" w:hAnsi="Arial" w:cs="Arial"/>
                <w:sz w:val="20"/>
              </w:rPr>
            </w:pPr>
            <w:r w:rsidRPr="002F2AD6">
              <w:rPr>
                <w:rFonts w:ascii="Arial" w:hAnsi="Arial" w:cs="Arial"/>
                <w:sz w:val="20"/>
              </w:rPr>
              <w:t>As requested, below please find the d</w:t>
            </w:r>
            <w:r w:rsidR="006C6A87" w:rsidRPr="002F2AD6">
              <w:rPr>
                <w:rFonts w:ascii="Arial" w:hAnsi="Arial" w:cs="Arial"/>
                <w:sz w:val="20"/>
              </w:rPr>
              <w:t xml:space="preserve">emographic compositions of </w:t>
            </w:r>
            <w:r w:rsidRPr="002F2AD6">
              <w:rPr>
                <w:rFonts w:ascii="Arial" w:hAnsi="Arial" w:cs="Arial"/>
                <w:sz w:val="20"/>
              </w:rPr>
              <w:t xml:space="preserve">Milliman’s </w:t>
            </w:r>
            <w:r w:rsidR="006C6A87" w:rsidRPr="002F2AD6">
              <w:rPr>
                <w:rFonts w:ascii="Arial" w:hAnsi="Arial" w:cs="Arial"/>
                <w:sz w:val="20"/>
              </w:rPr>
              <w:t>Executive Staff and Board Members</w:t>
            </w:r>
            <w:r w:rsidR="00BB3E13">
              <w:rPr>
                <w:rFonts w:ascii="Arial" w:hAnsi="Arial" w:cs="Arial"/>
                <w:sz w:val="20"/>
              </w:rPr>
              <w:t>:</w:t>
            </w:r>
          </w:p>
          <w:p w14:paraId="39917DCE" w14:textId="77777777" w:rsidR="005E65BE" w:rsidRDefault="005E65BE" w:rsidP="002F4F04">
            <w:pPr>
              <w:rPr>
                <w:rFonts w:ascii="Arial" w:hAnsi="Arial" w:cs="Arial"/>
                <w:sz w:val="20"/>
              </w:rPr>
            </w:pPr>
          </w:p>
          <w:tbl>
            <w:tblPr>
              <w:tblpPr w:leftFromText="180" w:rightFromText="180" w:vertAnchor="text" w:horzAnchor="margin" w:tblpY="-141"/>
              <w:tblOverlap w:val="never"/>
              <w:tblW w:w="3320" w:type="dxa"/>
              <w:tblCellMar>
                <w:left w:w="0" w:type="dxa"/>
                <w:right w:w="0" w:type="dxa"/>
              </w:tblCellMar>
              <w:tblLook w:val="04A0" w:firstRow="1" w:lastRow="0" w:firstColumn="1" w:lastColumn="0" w:noHBand="0" w:noVBand="1"/>
            </w:tblPr>
            <w:tblGrid>
              <w:gridCol w:w="1660"/>
              <w:gridCol w:w="1660"/>
            </w:tblGrid>
            <w:tr w:rsidR="005E65BE" w14:paraId="18B14C33" w14:textId="77777777" w:rsidTr="006C6A87">
              <w:trPr>
                <w:trHeight w:val="270"/>
              </w:trPr>
              <w:tc>
                <w:tcPr>
                  <w:tcW w:w="1660" w:type="dxa"/>
                  <w:tcBorders>
                    <w:top w:val="single" w:sz="8" w:space="0" w:color="auto"/>
                    <w:left w:val="single" w:sz="8" w:space="0" w:color="auto"/>
                    <w:bottom w:val="single" w:sz="8" w:space="0" w:color="auto"/>
                    <w:right w:val="single" w:sz="8" w:space="0" w:color="auto"/>
                  </w:tcBorders>
                  <w:shd w:val="clear" w:color="auto" w:fill="F6F8FA"/>
                  <w:tcMar>
                    <w:top w:w="0" w:type="dxa"/>
                    <w:left w:w="108" w:type="dxa"/>
                    <w:bottom w:w="0" w:type="dxa"/>
                    <w:right w:w="108" w:type="dxa"/>
                  </w:tcMar>
                  <w:vAlign w:val="center"/>
                  <w:hideMark/>
                </w:tcPr>
                <w:p w14:paraId="2C4186FC" w14:textId="77777777" w:rsidR="005E65BE" w:rsidRPr="005E65BE" w:rsidRDefault="005E65BE" w:rsidP="005E65BE">
                  <w:pPr>
                    <w:jc w:val="center"/>
                    <w:rPr>
                      <w:rFonts w:ascii="Arial" w:hAnsi="Arial" w:cs="Arial"/>
                      <w:b/>
                      <w:bCs/>
                      <w:snapToGrid/>
                      <w:color w:val="1E3250"/>
                      <w:sz w:val="20"/>
                    </w:rPr>
                  </w:pPr>
                  <w:r w:rsidRPr="005E65BE">
                    <w:rPr>
                      <w:rFonts w:ascii="Arial" w:hAnsi="Arial" w:cs="Arial"/>
                      <w:b/>
                      <w:bCs/>
                      <w:color w:val="1E3250"/>
                      <w:sz w:val="20"/>
                    </w:rPr>
                    <w:t>Total Count</w:t>
                  </w:r>
                </w:p>
              </w:tc>
              <w:tc>
                <w:tcPr>
                  <w:tcW w:w="1660" w:type="dxa"/>
                  <w:tcBorders>
                    <w:top w:val="single" w:sz="8" w:space="0" w:color="auto"/>
                    <w:left w:val="nil"/>
                    <w:bottom w:val="single" w:sz="8" w:space="0" w:color="auto"/>
                    <w:right w:val="single" w:sz="8" w:space="0" w:color="auto"/>
                  </w:tcBorders>
                  <w:shd w:val="clear" w:color="auto" w:fill="F6F8FA"/>
                  <w:tcMar>
                    <w:top w:w="0" w:type="dxa"/>
                    <w:left w:w="108" w:type="dxa"/>
                    <w:bottom w:w="0" w:type="dxa"/>
                    <w:right w:w="108" w:type="dxa"/>
                  </w:tcMar>
                  <w:vAlign w:val="center"/>
                  <w:hideMark/>
                </w:tcPr>
                <w:p w14:paraId="68E44829" w14:textId="77777777" w:rsidR="005E65BE" w:rsidRPr="005E65BE" w:rsidRDefault="005E65BE" w:rsidP="005E65BE">
                  <w:pPr>
                    <w:jc w:val="center"/>
                    <w:rPr>
                      <w:rFonts w:ascii="Arial" w:hAnsi="Arial" w:cs="Arial"/>
                      <w:color w:val="000000"/>
                      <w:sz w:val="20"/>
                    </w:rPr>
                  </w:pPr>
                  <w:r w:rsidRPr="005E65BE">
                    <w:rPr>
                      <w:rFonts w:ascii="Arial" w:hAnsi="Arial" w:cs="Arial"/>
                      <w:color w:val="000000"/>
                      <w:sz w:val="20"/>
                    </w:rPr>
                    <w:t>9.00</w:t>
                  </w:r>
                </w:p>
              </w:tc>
            </w:tr>
            <w:tr w:rsidR="005E65BE" w14:paraId="65E682A7" w14:textId="77777777" w:rsidTr="006C6A87">
              <w:trPr>
                <w:trHeight w:val="525"/>
              </w:trPr>
              <w:tc>
                <w:tcPr>
                  <w:tcW w:w="1660" w:type="dxa"/>
                  <w:tcBorders>
                    <w:top w:val="nil"/>
                    <w:left w:val="single" w:sz="8" w:space="0" w:color="auto"/>
                    <w:bottom w:val="single" w:sz="8" w:space="0" w:color="auto"/>
                    <w:right w:val="single" w:sz="8" w:space="0" w:color="auto"/>
                  </w:tcBorders>
                  <w:shd w:val="clear" w:color="auto" w:fill="F6F8FA"/>
                  <w:tcMar>
                    <w:top w:w="0" w:type="dxa"/>
                    <w:left w:w="108" w:type="dxa"/>
                    <w:bottom w:w="0" w:type="dxa"/>
                    <w:right w:w="108" w:type="dxa"/>
                  </w:tcMar>
                  <w:vAlign w:val="center"/>
                  <w:hideMark/>
                </w:tcPr>
                <w:p w14:paraId="64C50B4E" w14:textId="77777777" w:rsidR="005E65BE" w:rsidRPr="005E65BE" w:rsidRDefault="005E65BE" w:rsidP="005E65BE">
                  <w:pPr>
                    <w:jc w:val="center"/>
                    <w:rPr>
                      <w:rFonts w:ascii="Arial" w:hAnsi="Arial" w:cs="Arial"/>
                      <w:b/>
                      <w:bCs/>
                      <w:color w:val="1E3250"/>
                      <w:sz w:val="20"/>
                    </w:rPr>
                  </w:pPr>
                  <w:r w:rsidRPr="005E65BE">
                    <w:rPr>
                      <w:rFonts w:ascii="Arial" w:hAnsi="Arial" w:cs="Arial"/>
                      <w:b/>
                      <w:bCs/>
                      <w:color w:val="1E3250"/>
                      <w:sz w:val="20"/>
                    </w:rPr>
                    <w:t>Male (% of members)</w:t>
                  </w:r>
                </w:p>
              </w:tc>
              <w:tc>
                <w:tcPr>
                  <w:tcW w:w="1660" w:type="dxa"/>
                  <w:tcBorders>
                    <w:top w:val="nil"/>
                    <w:left w:val="nil"/>
                    <w:bottom w:val="single" w:sz="8" w:space="0" w:color="auto"/>
                    <w:right w:val="single" w:sz="8" w:space="0" w:color="auto"/>
                  </w:tcBorders>
                  <w:shd w:val="clear" w:color="auto" w:fill="F6F8FA"/>
                  <w:tcMar>
                    <w:top w:w="0" w:type="dxa"/>
                    <w:left w:w="108" w:type="dxa"/>
                    <w:bottom w:w="0" w:type="dxa"/>
                    <w:right w:w="108" w:type="dxa"/>
                  </w:tcMar>
                  <w:vAlign w:val="center"/>
                  <w:hideMark/>
                </w:tcPr>
                <w:p w14:paraId="764F93D0" w14:textId="77777777" w:rsidR="005E65BE" w:rsidRPr="005E65BE" w:rsidRDefault="005E65BE" w:rsidP="005E65BE">
                  <w:pPr>
                    <w:jc w:val="center"/>
                    <w:rPr>
                      <w:rFonts w:ascii="Arial" w:hAnsi="Arial" w:cs="Arial"/>
                      <w:color w:val="000000"/>
                      <w:sz w:val="20"/>
                    </w:rPr>
                  </w:pPr>
                  <w:r w:rsidRPr="005E65BE">
                    <w:rPr>
                      <w:rFonts w:ascii="Arial" w:hAnsi="Arial" w:cs="Arial"/>
                      <w:color w:val="000000"/>
                      <w:sz w:val="20"/>
                    </w:rPr>
                    <w:t>56%</w:t>
                  </w:r>
                </w:p>
              </w:tc>
            </w:tr>
            <w:tr w:rsidR="005E65BE" w14:paraId="58CBDDD5" w14:textId="77777777" w:rsidTr="006C6A87">
              <w:trPr>
                <w:trHeight w:val="270"/>
              </w:trPr>
              <w:tc>
                <w:tcPr>
                  <w:tcW w:w="1660" w:type="dxa"/>
                  <w:tcBorders>
                    <w:top w:val="nil"/>
                    <w:left w:val="single" w:sz="8" w:space="0" w:color="auto"/>
                    <w:bottom w:val="single" w:sz="8" w:space="0" w:color="auto"/>
                    <w:right w:val="single" w:sz="8" w:space="0" w:color="auto"/>
                  </w:tcBorders>
                  <w:shd w:val="clear" w:color="auto" w:fill="F6F8FA"/>
                  <w:tcMar>
                    <w:top w:w="0" w:type="dxa"/>
                    <w:left w:w="108" w:type="dxa"/>
                    <w:bottom w:w="0" w:type="dxa"/>
                    <w:right w:w="108" w:type="dxa"/>
                  </w:tcMar>
                  <w:vAlign w:val="center"/>
                  <w:hideMark/>
                </w:tcPr>
                <w:p w14:paraId="572F36AE" w14:textId="77777777" w:rsidR="005E65BE" w:rsidRPr="005E65BE" w:rsidRDefault="005E65BE" w:rsidP="005E65BE">
                  <w:pPr>
                    <w:jc w:val="center"/>
                    <w:rPr>
                      <w:rFonts w:ascii="Arial" w:hAnsi="Arial" w:cs="Arial"/>
                      <w:b/>
                      <w:bCs/>
                      <w:color w:val="1E3250"/>
                      <w:sz w:val="20"/>
                    </w:rPr>
                  </w:pPr>
                  <w:r w:rsidRPr="005E65BE">
                    <w:rPr>
                      <w:rFonts w:ascii="Arial" w:hAnsi="Arial" w:cs="Arial"/>
                      <w:b/>
                      <w:bCs/>
                      <w:color w:val="1E3250"/>
                      <w:sz w:val="20"/>
                    </w:rPr>
                    <w:t>Female (%)</w:t>
                  </w:r>
                </w:p>
              </w:tc>
              <w:tc>
                <w:tcPr>
                  <w:tcW w:w="1660" w:type="dxa"/>
                  <w:tcBorders>
                    <w:top w:val="nil"/>
                    <w:left w:val="nil"/>
                    <w:bottom w:val="single" w:sz="8" w:space="0" w:color="auto"/>
                    <w:right w:val="single" w:sz="8" w:space="0" w:color="auto"/>
                  </w:tcBorders>
                  <w:shd w:val="clear" w:color="auto" w:fill="F6F8FA"/>
                  <w:tcMar>
                    <w:top w:w="0" w:type="dxa"/>
                    <w:left w:w="108" w:type="dxa"/>
                    <w:bottom w:w="0" w:type="dxa"/>
                    <w:right w:w="108" w:type="dxa"/>
                  </w:tcMar>
                  <w:vAlign w:val="center"/>
                  <w:hideMark/>
                </w:tcPr>
                <w:p w14:paraId="49518E46" w14:textId="77777777" w:rsidR="005E65BE" w:rsidRPr="005E65BE" w:rsidRDefault="005E65BE" w:rsidP="005E65BE">
                  <w:pPr>
                    <w:jc w:val="center"/>
                    <w:rPr>
                      <w:rFonts w:ascii="Arial" w:hAnsi="Arial" w:cs="Arial"/>
                      <w:color w:val="000000"/>
                      <w:sz w:val="20"/>
                    </w:rPr>
                  </w:pPr>
                  <w:r w:rsidRPr="005E65BE">
                    <w:rPr>
                      <w:rFonts w:ascii="Arial" w:hAnsi="Arial" w:cs="Arial"/>
                      <w:color w:val="000000"/>
                      <w:sz w:val="20"/>
                    </w:rPr>
                    <w:t>44%</w:t>
                  </w:r>
                </w:p>
              </w:tc>
            </w:tr>
            <w:tr w:rsidR="005E65BE" w14:paraId="07FD3C2F" w14:textId="77777777" w:rsidTr="006C6A87">
              <w:trPr>
                <w:trHeight w:val="270"/>
              </w:trPr>
              <w:tc>
                <w:tcPr>
                  <w:tcW w:w="1660" w:type="dxa"/>
                  <w:tcBorders>
                    <w:top w:val="nil"/>
                    <w:left w:val="single" w:sz="8" w:space="0" w:color="auto"/>
                    <w:bottom w:val="single" w:sz="8" w:space="0" w:color="auto"/>
                    <w:right w:val="single" w:sz="8" w:space="0" w:color="auto"/>
                  </w:tcBorders>
                  <w:shd w:val="clear" w:color="auto" w:fill="F6F8FA"/>
                  <w:tcMar>
                    <w:top w:w="0" w:type="dxa"/>
                    <w:left w:w="108" w:type="dxa"/>
                    <w:bottom w:w="0" w:type="dxa"/>
                    <w:right w:w="108" w:type="dxa"/>
                  </w:tcMar>
                  <w:vAlign w:val="center"/>
                  <w:hideMark/>
                </w:tcPr>
                <w:p w14:paraId="200A1C62" w14:textId="77777777" w:rsidR="005E65BE" w:rsidRPr="005E65BE" w:rsidRDefault="005E65BE" w:rsidP="005E65BE">
                  <w:pPr>
                    <w:jc w:val="center"/>
                    <w:rPr>
                      <w:rFonts w:ascii="Arial" w:hAnsi="Arial" w:cs="Arial"/>
                      <w:b/>
                      <w:bCs/>
                      <w:color w:val="1E3250"/>
                      <w:sz w:val="20"/>
                    </w:rPr>
                  </w:pPr>
                  <w:r w:rsidRPr="005E65BE">
                    <w:rPr>
                      <w:rFonts w:ascii="Arial" w:hAnsi="Arial" w:cs="Arial"/>
                      <w:b/>
                      <w:bCs/>
                      <w:color w:val="1E3250"/>
                      <w:sz w:val="20"/>
                    </w:rPr>
                    <w:t>White</w:t>
                  </w:r>
                </w:p>
              </w:tc>
              <w:tc>
                <w:tcPr>
                  <w:tcW w:w="1660" w:type="dxa"/>
                  <w:tcBorders>
                    <w:top w:val="nil"/>
                    <w:left w:val="nil"/>
                    <w:bottom w:val="single" w:sz="8" w:space="0" w:color="auto"/>
                    <w:right w:val="single" w:sz="8" w:space="0" w:color="auto"/>
                  </w:tcBorders>
                  <w:shd w:val="clear" w:color="auto" w:fill="F6F8FA"/>
                  <w:tcMar>
                    <w:top w:w="0" w:type="dxa"/>
                    <w:left w:w="108" w:type="dxa"/>
                    <w:bottom w:w="0" w:type="dxa"/>
                    <w:right w:w="108" w:type="dxa"/>
                  </w:tcMar>
                  <w:vAlign w:val="center"/>
                  <w:hideMark/>
                </w:tcPr>
                <w:p w14:paraId="3EEF9393" w14:textId="77777777" w:rsidR="005E65BE" w:rsidRPr="005E65BE" w:rsidRDefault="005E65BE" w:rsidP="005E65BE">
                  <w:pPr>
                    <w:jc w:val="center"/>
                    <w:rPr>
                      <w:rFonts w:ascii="Arial" w:hAnsi="Arial" w:cs="Arial"/>
                      <w:color w:val="1E3250"/>
                      <w:sz w:val="20"/>
                    </w:rPr>
                  </w:pPr>
                  <w:r w:rsidRPr="005E65BE">
                    <w:rPr>
                      <w:rFonts w:ascii="Arial" w:hAnsi="Arial" w:cs="Arial"/>
                      <w:color w:val="1E3250"/>
                      <w:sz w:val="20"/>
                    </w:rPr>
                    <w:t>89%</w:t>
                  </w:r>
                </w:p>
              </w:tc>
            </w:tr>
            <w:tr w:rsidR="005E65BE" w14:paraId="3EABA42B" w14:textId="77777777" w:rsidTr="006C6A87">
              <w:trPr>
                <w:trHeight w:val="270"/>
              </w:trPr>
              <w:tc>
                <w:tcPr>
                  <w:tcW w:w="1660" w:type="dxa"/>
                  <w:tcBorders>
                    <w:top w:val="nil"/>
                    <w:left w:val="single" w:sz="8" w:space="0" w:color="auto"/>
                    <w:bottom w:val="single" w:sz="8" w:space="0" w:color="auto"/>
                    <w:right w:val="single" w:sz="8" w:space="0" w:color="auto"/>
                  </w:tcBorders>
                  <w:shd w:val="clear" w:color="auto" w:fill="F6F8FA"/>
                  <w:tcMar>
                    <w:top w:w="0" w:type="dxa"/>
                    <w:left w:w="108" w:type="dxa"/>
                    <w:bottom w:w="0" w:type="dxa"/>
                    <w:right w:w="108" w:type="dxa"/>
                  </w:tcMar>
                  <w:vAlign w:val="center"/>
                  <w:hideMark/>
                </w:tcPr>
                <w:p w14:paraId="18FA7905" w14:textId="77777777" w:rsidR="005E65BE" w:rsidRPr="00F9538F" w:rsidRDefault="005E65BE" w:rsidP="005E65BE">
                  <w:pPr>
                    <w:jc w:val="center"/>
                    <w:rPr>
                      <w:rFonts w:ascii="Arial" w:hAnsi="Arial" w:cs="Arial"/>
                      <w:b/>
                      <w:color w:val="1E3250"/>
                      <w:sz w:val="20"/>
                    </w:rPr>
                  </w:pPr>
                  <w:r w:rsidRPr="00F9538F">
                    <w:rPr>
                      <w:rFonts w:ascii="Arial" w:hAnsi="Arial" w:cs="Arial"/>
                      <w:b/>
                      <w:color w:val="1E3250"/>
                      <w:sz w:val="20"/>
                    </w:rPr>
                    <w:t>Asian</w:t>
                  </w:r>
                </w:p>
              </w:tc>
              <w:tc>
                <w:tcPr>
                  <w:tcW w:w="1660" w:type="dxa"/>
                  <w:tcBorders>
                    <w:top w:val="nil"/>
                    <w:left w:val="nil"/>
                    <w:bottom w:val="single" w:sz="8" w:space="0" w:color="auto"/>
                    <w:right w:val="single" w:sz="8" w:space="0" w:color="auto"/>
                  </w:tcBorders>
                  <w:shd w:val="clear" w:color="auto" w:fill="F6F8FA"/>
                  <w:tcMar>
                    <w:top w:w="0" w:type="dxa"/>
                    <w:left w:w="108" w:type="dxa"/>
                    <w:bottom w:w="0" w:type="dxa"/>
                    <w:right w:w="108" w:type="dxa"/>
                  </w:tcMar>
                  <w:vAlign w:val="center"/>
                  <w:hideMark/>
                </w:tcPr>
                <w:p w14:paraId="5C017328" w14:textId="77777777" w:rsidR="005E65BE" w:rsidRPr="00F9538F" w:rsidRDefault="005E65BE" w:rsidP="005E65BE">
                  <w:pPr>
                    <w:jc w:val="center"/>
                    <w:rPr>
                      <w:rFonts w:ascii="Arial" w:hAnsi="Arial" w:cs="Arial"/>
                      <w:color w:val="1E3250"/>
                      <w:sz w:val="20"/>
                    </w:rPr>
                  </w:pPr>
                  <w:r w:rsidRPr="00F9538F">
                    <w:rPr>
                      <w:rFonts w:ascii="Arial" w:hAnsi="Arial" w:cs="Arial"/>
                      <w:color w:val="1E3250"/>
                      <w:sz w:val="20"/>
                    </w:rPr>
                    <w:t>11%</w:t>
                  </w:r>
                </w:p>
              </w:tc>
            </w:tr>
          </w:tbl>
          <w:p w14:paraId="0C972561" w14:textId="77777777" w:rsidR="005E65BE" w:rsidRDefault="005E65BE" w:rsidP="002F4F04">
            <w:pPr>
              <w:rPr>
                <w:rFonts w:ascii="Arial" w:hAnsi="Arial" w:cs="Arial"/>
                <w:sz w:val="20"/>
              </w:rPr>
            </w:pPr>
          </w:p>
          <w:p w14:paraId="3D56409D" w14:textId="77777777" w:rsidR="005E65BE" w:rsidRPr="008578F9" w:rsidRDefault="005E65BE" w:rsidP="002F4F04">
            <w:pPr>
              <w:rPr>
                <w:rFonts w:ascii="Arial" w:hAnsi="Arial" w:cs="Arial"/>
                <w:sz w:val="20"/>
              </w:rPr>
            </w:pPr>
          </w:p>
          <w:p w14:paraId="13B94A78" w14:textId="77777777" w:rsidR="006C6A87" w:rsidRDefault="006C6A87" w:rsidP="002F4F04">
            <w:pPr>
              <w:rPr>
                <w:rFonts w:ascii="Arial" w:hAnsi="Arial" w:cs="Arial"/>
                <w:sz w:val="20"/>
              </w:rPr>
            </w:pPr>
          </w:p>
          <w:p w14:paraId="03267BE0" w14:textId="77777777" w:rsidR="006C6A87" w:rsidRDefault="006C6A87" w:rsidP="002F4F04">
            <w:pPr>
              <w:rPr>
                <w:rFonts w:ascii="Arial" w:hAnsi="Arial" w:cs="Arial"/>
                <w:sz w:val="20"/>
              </w:rPr>
            </w:pPr>
          </w:p>
          <w:p w14:paraId="019DD26A" w14:textId="77777777" w:rsidR="006C6A87" w:rsidRDefault="006C6A87" w:rsidP="002F4F04">
            <w:pPr>
              <w:rPr>
                <w:rFonts w:ascii="Arial" w:hAnsi="Arial" w:cs="Arial"/>
                <w:sz w:val="20"/>
              </w:rPr>
            </w:pPr>
          </w:p>
          <w:p w14:paraId="2A251288" w14:textId="77777777" w:rsidR="006C6A87" w:rsidRDefault="006C6A87" w:rsidP="002F4F04">
            <w:pPr>
              <w:rPr>
                <w:rFonts w:ascii="Arial" w:hAnsi="Arial" w:cs="Arial"/>
                <w:sz w:val="20"/>
              </w:rPr>
            </w:pPr>
          </w:p>
          <w:p w14:paraId="45CA8098" w14:textId="77777777" w:rsidR="006C6A87" w:rsidRDefault="006C6A87" w:rsidP="002F4F04">
            <w:pPr>
              <w:rPr>
                <w:rFonts w:ascii="Arial" w:hAnsi="Arial" w:cs="Arial"/>
                <w:sz w:val="20"/>
              </w:rPr>
            </w:pPr>
          </w:p>
          <w:p w14:paraId="5F4C9E48" w14:textId="6767C2C6" w:rsidR="00EA7DC5" w:rsidRPr="00A2550B" w:rsidRDefault="00EA7DC5" w:rsidP="002F4F04">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48132F63" w14:textId="0A38EF34" w:rsidR="0009502C" w:rsidRPr="007405EB" w:rsidRDefault="00A46E29" w:rsidP="0009502C">
            <w:pPr>
              <w:rPr>
                <w:rFonts w:ascii="Arial" w:hAnsi="Arial" w:cs="Arial"/>
                <w:sz w:val="20"/>
              </w:rPr>
            </w:pPr>
            <w:r w:rsidRPr="007405EB">
              <w:rPr>
                <w:rFonts w:ascii="Arial" w:hAnsi="Arial" w:cs="Arial"/>
                <w:sz w:val="20"/>
              </w:rPr>
              <w:lastRenderedPageBreak/>
              <w:t xml:space="preserve">Please see </w:t>
            </w:r>
            <w:r w:rsidR="00C2331C" w:rsidRPr="00C2331C">
              <w:rPr>
                <w:rFonts w:ascii="Arial" w:hAnsi="Arial" w:cs="Arial"/>
                <w:sz w:val="20"/>
              </w:rPr>
              <w:t>Attachment 2 included with our proposal</w:t>
            </w:r>
            <w:r w:rsidRPr="00C2331C">
              <w:rPr>
                <w:rFonts w:ascii="Arial" w:hAnsi="Arial" w:cs="Arial"/>
                <w:sz w:val="20"/>
              </w:rPr>
              <w:t xml:space="preserve"> for Milliman’s most recent Dunn &amp; Bradstreet Business Report.</w:t>
            </w:r>
          </w:p>
          <w:p w14:paraId="0772C468" w14:textId="22F5BAFD"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46CBD765" w14:textId="77777777" w:rsidR="0009502C" w:rsidRPr="007405EB" w:rsidRDefault="00A46E29" w:rsidP="0009502C">
            <w:pPr>
              <w:rPr>
                <w:rFonts w:ascii="Arial" w:hAnsi="Arial" w:cs="Arial"/>
                <w:sz w:val="20"/>
              </w:rPr>
            </w:pPr>
            <w:r w:rsidRPr="007405EB">
              <w:rPr>
                <w:rFonts w:ascii="Arial" w:hAnsi="Arial" w:cs="Arial"/>
                <w:sz w:val="20"/>
              </w:rPr>
              <w:t>Milliman engages an independent third-party auditor, Moss Adams ("Auditor"), to audit Milliman's consolidated financial statements. Milliman's management is responsible for the preparation and fair presentation of these consolidated financial statements in accordance with accounting principles generally accepted in the United States of America; this includes the design, implementation, and maintenance of internal control relevant to the preparation and fair presentation of consolidated financial statements that are free from material misstatement, whether due to fraud or error. The Auditor's responsibility is to express an opinion on these consolidated financial statements based on its audits.</w:t>
            </w:r>
          </w:p>
          <w:p w14:paraId="19A86080" w14:textId="77777777" w:rsidR="00A46E29" w:rsidRPr="007405EB" w:rsidRDefault="00A46E29" w:rsidP="0009502C">
            <w:pPr>
              <w:rPr>
                <w:rFonts w:ascii="Arial" w:hAnsi="Arial" w:cs="Arial"/>
                <w:sz w:val="20"/>
              </w:rPr>
            </w:pPr>
          </w:p>
          <w:p w14:paraId="0B47404E" w14:textId="77777777" w:rsidR="00A46E29" w:rsidRPr="007405EB" w:rsidRDefault="00A46E29" w:rsidP="00A46E29">
            <w:pPr>
              <w:rPr>
                <w:rFonts w:ascii="Arial" w:hAnsi="Arial" w:cs="Arial"/>
                <w:sz w:val="20"/>
              </w:rPr>
            </w:pPr>
            <w:r w:rsidRPr="007405EB">
              <w:rPr>
                <w:rFonts w:ascii="Arial" w:hAnsi="Arial" w:cs="Arial"/>
                <w:sz w:val="20"/>
              </w:rPr>
              <w:t xml:space="preserve">The Auditor conducted its audits in accordance with auditing standards generally accepted in the United States of America. Those standards require that the Auditor plan and perform the audits to obtain reasonable assurance about whether the consolidated financial statements are free from material misstatement. An audit involves performing procedures to obtain audit evidence about the amounts and disclosures in the consolidated financial statements. The procedures selected depend on the Auditor's judgment, including the assessment of the risks of material misstatement of the consolidated financial statements, whether due to fraud or error. In making those risk assessments, the Auditor considers internal control relevant to the entity's preparation and fair presentation of the consolidated financial statements in order to design audit procedures that are appropriate in the circumstances, but not for the purpose of expressing an opinion on the effectiveness of the entity's internal control. Accordingly, the Auditor expresses no such opinion. </w:t>
            </w:r>
          </w:p>
          <w:p w14:paraId="477AB319" w14:textId="77777777" w:rsidR="00A46E29" w:rsidRPr="007405EB" w:rsidRDefault="00A46E29" w:rsidP="00A46E29">
            <w:pPr>
              <w:rPr>
                <w:rFonts w:ascii="Arial" w:hAnsi="Arial" w:cs="Arial"/>
                <w:sz w:val="20"/>
              </w:rPr>
            </w:pPr>
          </w:p>
          <w:p w14:paraId="493599DA" w14:textId="77777777" w:rsidR="00A46E29" w:rsidRPr="007405EB" w:rsidRDefault="00A46E29" w:rsidP="00A46E29">
            <w:pPr>
              <w:rPr>
                <w:rFonts w:ascii="Arial" w:hAnsi="Arial" w:cs="Arial"/>
                <w:sz w:val="20"/>
              </w:rPr>
            </w:pPr>
            <w:r w:rsidRPr="007405EB">
              <w:rPr>
                <w:rFonts w:ascii="Arial" w:hAnsi="Arial" w:cs="Arial"/>
                <w:sz w:val="20"/>
              </w:rPr>
              <w:t xml:space="preserve">An audit also includes evaluating the appropriateness of accounting policies used and the reasonableness of significant accounting estimates made by Milliman's management, as well as evaluating the overall presentation of the consolidated financial statements. The Auditor believes that the audit evidence it has obtained is sufficient and appropriate to provide a basis for the Auditor's audit opinion. </w:t>
            </w:r>
          </w:p>
          <w:p w14:paraId="285C1CE2" w14:textId="77777777" w:rsidR="00A46E29" w:rsidRPr="007405EB" w:rsidRDefault="00A46E29" w:rsidP="00A46E29">
            <w:pPr>
              <w:rPr>
                <w:rFonts w:ascii="Arial" w:hAnsi="Arial" w:cs="Arial"/>
                <w:sz w:val="20"/>
              </w:rPr>
            </w:pPr>
          </w:p>
          <w:p w14:paraId="1E310489" w14:textId="3668E551" w:rsidR="00A46E29" w:rsidRDefault="00A46E29" w:rsidP="00A46E29">
            <w:pPr>
              <w:rPr>
                <w:rFonts w:ascii="Arial" w:hAnsi="Arial" w:cs="Arial"/>
                <w:sz w:val="20"/>
              </w:rPr>
            </w:pPr>
            <w:r w:rsidRPr="007405EB">
              <w:rPr>
                <w:rFonts w:ascii="Arial" w:hAnsi="Arial" w:cs="Arial"/>
                <w:sz w:val="20"/>
              </w:rPr>
              <w:t xml:space="preserve">Please </w:t>
            </w:r>
            <w:r w:rsidRPr="00C2331C">
              <w:rPr>
                <w:rFonts w:ascii="Arial" w:hAnsi="Arial" w:cs="Arial"/>
                <w:sz w:val="20"/>
              </w:rPr>
              <w:t xml:space="preserve">see </w:t>
            </w:r>
            <w:r w:rsidR="00C2331C" w:rsidRPr="00C2331C">
              <w:rPr>
                <w:rFonts w:ascii="Arial" w:hAnsi="Arial" w:cs="Arial"/>
                <w:sz w:val="20"/>
              </w:rPr>
              <w:t>Attachments 4 and 5</w:t>
            </w:r>
            <w:r w:rsidR="00C2331C">
              <w:rPr>
                <w:rFonts w:ascii="Arial" w:hAnsi="Arial" w:cs="Arial"/>
                <w:sz w:val="20"/>
              </w:rPr>
              <w:t xml:space="preserve"> included with our proposal</w:t>
            </w:r>
            <w:r w:rsidRPr="00C2331C">
              <w:rPr>
                <w:rFonts w:ascii="Arial" w:hAnsi="Arial" w:cs="Arial"/>
                <w:sz w:val="20"/>
              </w:rPr>
              <w:t xml:space="preserve"> for a statement </w:t>
            </w:r>
            <w:r w:rsidRPr="007405EB">
              <w:rPr>
                <w:rFonts w:ascii="Arial" w:hAnsi="Arial" w:cs="Arial"/>
                <w:sz w:val="20"/>
              </w:rPr>
              <w:t>from our Auditor indicating management's responsibility for the consolidated financial statements and Auditor's responsibility.</w:t>
            </w:r>
          </w:p>
          <w:p w14:paraId="17B2F502" w14:textId="48E8988C" w:rsidR="00A46E29" w:rsidRPr="00A2550B" w:rsidRDefault="00A46E29" w:rsidP="00A46E29">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2D0ACBE4" w14:textId="55F3D1C1" w:rsidR="00A025C6" w:rsidRPr="00C60549" w:rsidRDefault="0009502C" w:rsidP="00C60549">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A025C6" w:rsidRPr="00C60549">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49396873" w:rsidR="0009502C" w:rsidRPr="00A2550B" w:rsidRDefault="007F7034" w:rsidP="00C2331C">
            <w:pPr>
              <w:rPr>
                <w:rFonts w:asciiTheme="minorHAnsi" w:hAnsiTheme="minorHAnsi" w:cstheme="minorHAnsi"/>
                <w:szCs w:val="24"/>
              </w:rPr>
            </w:pPr>
            <w:r w:rsidRPr="007405EB">
              <w:rPr>
                <w:rFonts w:ascii="Arial" w:hAnsi="Arial" w:cs="Arial"/>
                <w:sz w:val="20"/>
              </w:rPr>
              <w:t xml:space="preserve">Please see </w:t>
            </w:r>
            <w:r w:rsidR="00C2331C" w:rsidRPr="00C2331C">
              <w:rPr>
                <w:rFonts w:ascii="Arial" w:hAnsi="Arial" w:cs="Arial"/>
                <w:sz w:val="20"/>
              </w:rPr>
              <w:t>Attachment 6 included with our proposal</w:t>
            </w:r>
            <w:r w:rsidRPr="00C2331C">
              <w:rPr>
                <w:rFonts w:ascii="Arial" w:hAnsi="Arial" w:cs="Arial"/>
                <w:sz w:val="20"/>
              </w:rPr>
              <w:t xml:space="preserve"> for an exceptions list summarizing the requested changes to the state’s legal terms and conditions. </w:t>
            </w:r>
          </w:p>
        </w:tc>
      </w:tr>
    </w:tbl>
    <w:p w14:paraId="126A8255" w14:textId="77777777" w:rsidR="0009502C" w:rsidRPr="00A2550B" w:rsidRDefault="0009502C" w:rsidP="0009502C">
      <w:pPr>
        <w:rPr>
          <w:rFonts w:asciiTheme="minorHAnsi" w:hAnsiTheme="minorHAnsi" w:cstheme="minorHAnsi"/>
          <w:szCs w:val="24"/>
        </w:rPr>
      </w:pPr>
    </w:p>
    <w:p w14:paraId="1B16C362" w14:textId="07F03B05" w:rsidR="0009502C" w:rsidRPr="00A2550B" w:rsidRDefault="006405E9" w:rsidP="006676D8">
      <w:pPr>
        <w:widowControl/>
        <w:numPr>
          <w:ilvl w:val="2"/>
          <w:numId w:val="15"/>
        </w:numPr>
        <w:jc w:val="both"/>
        <w:rPr>
          <w:rFonts w:asciiTheme="minorHAnsi" w:hAnsiTheme="minorHAnsi" w:cstheme="minorHAnsi"/>
          <w:bCs/>
          <w:szCs w:val="24"/>
        </w:rPr>
      </w:pPr>
      <w:r w:rsidRPr="007020EA">
        <w:rPr>
          <w:rFonts w:asciiTheme="minorHAnsi" w:hAnsiTheme="minorHAnsi" w:cstheme="minorHAnsi"/>
          <w:b/>
          <w:szCs w:val="24"/>
        </w:rPr>
        <w:t>References</w:t>
      </w:r>
      <w:r w:rsidR="0009502C" w:rsidRPr="007020EA">
        <w:rPr>
          <w:rFonts w:asciiTheme="minorHAnsi" w:hAnsiTheme="minorHAnsi" w:cstheme="minorHAnsi"/>
          <w:b/>
          <w:szCs w:val="24"/>
        </w:rPr>
        <w:t xml:space="preserve"> </w:t>
      </w:r>
      <w:r w:rsidR="0009502C" w:rsidRPr="007020EA">
        <w:rPr>
          <w:rFonts w:asciiTheme="minorHAnsi" w:hAnsiTheme="minorHAnsi" w:cstheme="minorHAnsi"/>
          <w:szCs w:val="24"/>
        </w:rPr>
        <w:t xml:space="preserve">- </w:t>
      </w:r>
      <w:r w:rsidR="006676D8" w:rsidRPr="007020EA">
        <w:rPr>
          <w:rFonts w:asciiTheme="minorHAnsi" w:hAnsiTheme="minorHAnsi" w:cstheme="minorHAnsi"/>
          <w:bCs/>
          <w:szCs w:val="24"/>
        </w:rPr>
        <w:t xml:space="preserve">Reference information is captured on </w:t>
      </w:r>
      <w:r w:rsidR="002F3BEF" w:rsidRPr="007020EA">
        <w:rPr>
          <w:rFonts w:asciiTheme="minorHAnsi" w:hAnsiTheme="minorHAnsi" w:cstheme="minorHAnsi"/>
          <w:b/>
          <w:szCs w:val="24"/>
        </w:rPr>
        <w:t>Attachment H</w:t>
      </w:r>
      <w:r w:rsidR="002F3BEF" w:rsidRPr="007020EA">
        <w:rPr>
          <w:rFonts w:asciiTheme="minorHAnsi" w:hAnsiTheme="minorHAnsi" w:cstheme="minorHAnsi"/>
          <w:bCs/>
          <w:szCs w:val="24"/>
        </w:rPr>
        <w:t xml:space="preserve"> </w:t>
      </w:r>
      <w:r w:rsidR="006676D8" w:rsidRPr="007020EA">
        <w:rPr>
          <w:rFonts w:asciiTheme="minorHAnsi" w:hAnsiTheme="minorHAnsi" w:cstheme="minorHAnsi"/>
          <w:bCs/>
          <w:szCs w:val="24"/>
        </w:rPr>
        <w:t xml:space="preserve">Respondent should complete the reference information portion of the </w:t>
      </w:r>
      <w:r w:rsidR="002F3BEF" w:rsidRPr="007020EA">
        <w:rPr>
          <w:rFonts w:asciiTheme="minorHAnsi" w:hAnsiTheme="minorHAnsi" w:cstheme="minorHAnsi"/>
          <w:b/>
          <w:szCs w:val="24"/>
        </w:rPr>
        <w:t>Attachment H</w:t>
      </w:r>
      <w:r w:rsidR="006676D8" w:rsidRPr="007020EA">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7020EA">
        <w:rPr>
          <w:rFonts w:asciiTheme="minorHAnsi" w:hAnsiTheme="minorHAnsi" w:cstheme="minorHAnsi"/>
          <w:b/>
          <w:szCs w:val="24"/>
        </w:rPr>
        <w:t>Attachment H</w:t>
      </w:r>
      <w:r w:rsidR="006676D8" w:rsidRPr="007020EA">
        <w:rPr>
          <w:rFonts w:asciiTheme="minorHAnsi" w:hAnsiTheme="minorHAnsi" w:cstheme="minorHAnsi"/>
          <w:bCs/>
          <w:szCs w:val="24"/>
        </w:rPr>
        <w:t xml:space="preserve"> should be completed by the reference and </w:t>
      </w:r>
      <w:r w:rsidR="006676D8" w:rsidRPr="007020EA">
        <w:rPr>
          <w:rFonts w:asciiTheme="minorHAnsi" w:hAnsiTheme="minorHAnsi" w:cstheme="minorHAnsi"/>
          <w:b/>
          <w:bCs/>
          <w:szCs w:val="24"/>
          <w:u w:val="single"/>
        </w:rPr>
        <w:t xml:space="preserve">emailed DIRECTLY </w:t>
      </w:r>
      <w:r w:rsidR="006676D8" w:rsidRPr="007020EA">
        <w:rPr>
          <w:rFonts w:asciiTheme="minorHAnsi" w:hAnsiTheme="minorHAnsi" w:cstheme="minorHAnsi"/>
          <w:bCs/>
          <w:szCs w:val="24"/>
        </w:rPr>
        <w:t xml:space="preserve">to the State.   The State should receive </w:t>
      </w:r>
      <w:r w:rsidR="00137CE3" w:rsidRPr="007020EA">
        <w:rPr>
          <w:rFonts w:asciiTheme="minorHAnsi" w:hAnsiTheme="minorHAnsi" w:cstheme="minorHAnsi"/>
          <w:bCs/>
          <w:szCs w:val="24"/>
        </w:rPr>
        <w:t>two</w:t>
      </w:r>
      <w:r w:rsidR="008070F3" w:rsidRPr="007020EA">
        <w:rPr>
          <w:rFonts w:asciiTheme="minorHAnsi" w:hAnsiTheme="minorHAnsi" w:cstheme="minorHAnsi"/>
          <w:bCs/>
          <w:szCs w:val="24"/>
        </w:rPr>
        <w:t xml:space="preserve"> (</w:t>
      </w:r>
      <w:r w:rsidR="00137CE3" w:rsidRPr="007020EA">
        <w:rPr>
          <w:rFonts w:asciiTheme="minorHAnsi" w:hAnsiTheme="minorHAnsi" w:cstheme="minorHAnsi"/>
          <w:bCs/>
          <w:szCs w:val="24"/>
        </w:rPr>
        <w:t>2</w:t>
      </w:r>
      <w:r w:rsidR="006676D8" w:rsidRPr="007020EA">
        <w:rPr>
          <w:rFonts w:asciiTheme="minorHAnsi" w:hAnsiTheme="minorHAnsi" w:cstheme="minorHAnsi"/>
          <w:bCs/>
          <w:szCs w:val="24"/>
        </w:rPr>
        <w:t>)</w:t>
      </w:r>
      <w:r w:rsidR="006676D8" w:rsidRPr="007020EA">
        <w:rPr>
          <w:rFonts w:asciiTheme="minorHAnsi" w:hAnsiTheme="minorHAnsi" w:cstheme="minorHAnsi"/>
          <w:bCs/>
          <w:color w:val="FF0000"/>
          <w:szCs w:val="24"/>
        </w:rPr>
        <w:t xml:space="preserve"> </w:t>
      </w:r>
      <w:r w:rsidR="002F3BEF" w:rsidRPr="007020EA">
        <w:rPr>
          <w:rFonts w:asciiTheme="minorHAnsi" w:hAnsiTheme="minorHAnsi" w:cstheme="minorHAnsi"/>
          <w:b/>
          <w:szCs w:val="24"/>
        </w:rPr>
        <w:t>Attachment Hs</w:t>
      </w:r>
      <w:r w:rsidR="006676D8" w:rsidRPr="007020EA">
        <w:rPr>
          <w:rFonts w:asciiTheme="minorHAnsi" w:hAnsiTheme="minorHAnsi" w:cstheme="minorHAnsi"/>
          <w:bCs/>
          <w:color w:val="FF0000"/>
          <w:szCs w:val="24"/>
        </w:rPr>
        <w:t xml:space="preserve"> </w:t>
      </w:r>
      <w:r w:rsidR="006676D8" w:rsidRPr="007020EA">
        <w:rPr>
          <w:rFonts w:asciiTheme="minorHAnsi" w:hAnsiTheme="minorHAnsi" w:cstheme="minorHAnsi"/>
          <w:bCs/>
          <w:szCs w:val="24"/>
        </w:rPr>
        <w:t>from clients for whom the Respondent has provided products and/or services that are the same or similar to those products and/or services requested in this RFP</w:t>
      </w:r>
      <w:r w:rsidR="006676D8" w:rsidRPr="00A2550B">
        <w:rPr>
          <w:rFonts w:asciiTheme="minorHAnsi" w:hAnsiTheme="minorHAnsi" w:cstheme="minorHAnsi"/>
          <w:bCs/>
          <w:szCs w:val="24"/>
        </w:rPr>
        <w:t>.</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0"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rsidTr="00137CE3">
        <w:tc>
          <w:tcPr>
            <w:tcW w:w="4338" w:type="dxa"/>
            <w:shd w:val="clear" w:color="auto" w:fill="B3B3B3"/>
            <w:vAlign w:val="bottom"/>
          </w:tcPr>
          <w:p w14:paraId="1728A4CF" w14:textId="77777777" w:rsidR="0009502C" w:rsidRPr="007405EB" w:rsidRDefault="0009502C" w:rsidP="0009502C">
            <w:pPr>
              <w:rPr>
                <w:rFonts w:ascii="Arial" w:hAnsi="Arial" w:cs="Arial"/>
                <w:b/>
                <w:sz w:val="20"/>
              </w:rPr>
            </w:pPr>
            <w:r w:rsidRPr="007405EB">
              <w:rPr>
                <w:rFonts w:ascii="Arial" w:hAnsi="Arial" w:cs="Arial"/>
                <w:b/>
                <w:sz w:val="20"/>
              </w:rPr>
              <w:t>Customer 1</w:t>
            </w:r>
          </w:p>
        </w:tc>
        <w:tc>
          <w:tcPr>
            <w:tcW w:w="4292" w:type="dxa"/>
            <w:tcBorders>
              <w:bottom w:val="single" w:sz="4" w:space="0" w:color="auto"/>
            </w:tcBorders>
            <w:shd w:val="clear" w:color="auto" w:fill="B3B3B3"/>
          </w:tcPr>
          <w:p w14:paraId="0D474B1B" w14:textId="77777777" w:rsidR="0009502C" w:rsidRPr="007405EB" w:rsidRDefault="0009502C" w:rsidP="0009502C">
            <w:pPr>
              <w:rPr>
                <w:rFonts w:ascii="Arial" w:hAnsi="Arial" w:cs="Arial"/>
                <w:sz w:val="20"/>
              </w:rPr>
            </w:pPr>
          </w:p>
        </w:tc>
      </w:tr>
      <w:tr w:rsidR="0009502C" w:rsidRPr="00A2550B" w14:paraId="4051EF31" w14:textId="77777777" w:rsidTr="00137CE3">
        <w:tc>
          <w:tcPr>
            <w:tcW w:w="4338" w:type="dxa"/>
            <w:vAlign w:val="bottom"/>
          </w:tcPr>
          <w:p w14:paraId="70B7CA00" w14:textId="77777777" w:rsidR="0009502C" w:rsidRPr="007405EB" w:rsidRDefault="0009502C" w:rsidP="0009502C">
            <w:pPr>
              <w:rPr>
                <w:rFonts w:ascii="Arial" w:hAnsi="Arial" w:cs="Arial"/>
                <w:sz w:val="20"/>
              </w:rPr>
            </w:pPr>
            <w:r w:rsidRPr="007405EB">
              <w:rPr>
                <w:rFonts w:ascii="Arial" w:hAnsi="Arial" w:cs="Arial"/>
                <w:sz w:val="20"/>
              </w:rPr>
              <w:t>Legal Name of Company or Governmental Entity</w:t>
            </w:r>
          </w:p>
        </w:tc>
        <w:tc>
          <w:tcPr>
            <w:tcW w:w="4292" w:type="dxa"/>
            <w:shd w:val="clear" w:color="auto" w:fill="FFFF99"/>
          </w:tcPr>
          <w:p w14:paraId="55CD4EB9" w14:textId="2C5857C8" w:rsidR="0009502C" w:rsidRPr="007405EB" w:rsidRDefault="002E4822" w:rsidP="0009502C">
            <w:pPr>
              <w:rPr>
                <w:rFonts w:ascii="Arial" w:hAnsi="Arial" w:cs="Arial"/>
                <w:sz w:val="20"/>
              </w:rPr>
            </w:pPr>
            <w:r w:rsidRPr="007405EB">
              <w:rPr>
                <w:rFonts w:ascii="Arial" w:hAnsi="Arial" w:cs="Arial"/>
                <w:sz w:val="20"/>
              </w:rPr>
              <w:t>Michigan Department of Health and Human Services</w:t>
            </w:r>
          </w:p>
        </w:tc>
      </w:tr>
      <w:tr w:rsidR="0009502C" w:rsidRPr="00A2550B" w14:paraId="492DD976" w14:textId="77777777" w:rsidTr="00137CE3">
        <w:tc>
          <w:tcPr>
            <w:tcW w:w="4338" w:type="dxa"/>
            <w:vAlign w:val="bottom"/>
          </w:tcPr>
          <w:p w14:paraId="2251F86E" w14:textId="77777777" w:rsidR="0009502C" w:rsidRPr="007405EB" w:rsidRDefault="0009502C" w:rsidP="0009502C">
            <w:pPr>
              <w:rPr>
                <w:rFonts w:ascii="Arial" w:hAnsi="Arial" w:cs="Arial"/>
                <w:sz w:val="20"/>
              </w:rPr>
            </w:pPr>
            <w:r w:rsidRPr="007405EB">
              <w:rPr>
                <w:rFonts w:ascii="Arial" w:hAnsi="Arial" w:cs="Arial"/>
                <w:sz w:val="20"/>
              </w:rPr>
              <w:t>Company Mailing Address</w:t>
            </w:r>
          </w:p>
        </w:tc>
        <w:tc>
          <w:tcPr>
            <w:tcW w:w="4292" w:type="dxa"/>
            <w:shd w:val="clear" w:color="auto" w:fill="FFFF99"/>
          </w:tcPr>
          <w:p w14:paraId="3DB44E55" w14:textId="523ABA35" w:rsidR="0009502C" w:rsidRPr="007405EB" w:rsidRDefault="003A5BEF" w:rsidP="0009502C">
            <w:pPr>
              <w:rPr>
                <w:rFonts w:ascii="Arial" w:hAnsi="Arial" w:cs="Arial"/>
                <w:sz w:val="20"/>
              </w:rPr>
            </w:pPr>
            <w:r w:rsidRPr="007405EB">
              <w:rPr>
                <w:rFonts w:ascii="Arial" w:hAnsi="Arial" w:cs="Arial"/>
                <w:sz w:val="20"/>
              </w:rPr>
              <w:t>320 South Walnut Street</w:t>
            </w:r>
          </w:p>
        </w:tc>
      </w:tr>
      <w:tr w:rsidR="0009502C" w:rsidRPr="00A2550B" w14:paraId="110E1716" w14:textId="77777777" w:rsidTr="00137CE3">
        <w:tc>
          <w:tcPr>
            <w:tcW w:w="4338" w:type="dxa"/>
            <w:vAlign w:val="bottom"/>
          </w:tcPr>
          <w:p w14:paraId="7EFC61C0" w14:textId="77777777" w:rsidR="0009502C" w:rsidRPr="007405EB" w:rsidRDefault="0009502C" w:rsidP="0009502C">
            <w:pPr>
              <w:rPr>
                <w:rFonts w:ascii="Arial" w:hAnsi="Arial" w:cs="Arial"/>
                <w:sz w:val="20"/>
              </w:rPr>
            </w:pPr>
            <w:r w:rsidRPr="007405EB">
              <w:rPr>
                <w:rFonts w:ascii="Arial" w:hAnsi="Arial" w:cs="Arial"/>
                <w:sz w:val="20"/>
              </w:rPr>
              <w:t>Company City, State, Zip</w:t>
            </w:r>
          </w:p>
        </w:tc>
        <w:tc>
          <w:tcPr>
            <w:tcW w:w="4292" w:type="dxa"/>
            <w:shd w:val="clear" w:color="auto" w:fill="FFFF99"/>
          </w:tcPr>
          <w:p w14:paraId="333EF371" w14:textId="52409A47" w:rsidR="0009502C" w:rsidRPr="007405EB" w:rsidRDefault="004D244C" w:rsidP="0009502C">
            <w:pPr>
              <w:rPr>
                <w:rFonts w:ascii="Arial" w:hAnsi="Arial" w:cs="Arial"/>
                <w:sz w:val="20"/>
              </w:rPr>
            </w:pPr>
            <w:r w:rsidRPr="007405EB">
              <w:rPr>
                <w:rFonts w:ascii="Arial" w:hAnsi="Arial" w:cs="Arial"/>
                <w:sz w:val="20"/>
              </w:rPr>
              <w:t>Lansing, Michigan 48913</w:t>
            </w:r>
          </w:p>
        </w:tc>
      </w:tr>
      <w:tr w:rsidR="0009502C" w:rsidRPr="00A2550B" w14:paraId="2D67BE85" w14:textId="77777777" w:rsidTr="00137CE3">
        <w:tc>
          <w:tcPr>
            <w:tcW w:w="4338" w:type="dxa"/>
            <w:vAlign w:val="bottom"/>
          </w:tcPr>
          <w:p w14:paraId="64986315" w14:textId="77777777" w:rsidR="0009502C" w:rsidRPr="007405EB" w:rsidRDefault="0009502C" w:rsidP="0009502C">
            <w:pPr>
              <w:rPr>
                <w:rFonts w:ascii="Arial" w:hAnsi="Arial" w:cs="Arial"/>
                <w:sz w:val="20"/>
              </w:rPr>
            </w:pPr>
            <w:r w:rsidRPr="007405EB">
              <w:rPr>
                <w:rFonts w:ascii="Arial" w:hAnsi="Arial" w:cs="Arial"/>
                <w:sz w:val="20"/>
              </w:rPr>
              <w:t>Company Website Address</w:t>
            </w:r>
          </w:p>
        </w:tc>
        <w:tc>
          <w:tcPr>
            <w:tcW w:w="4292" w:type="dxa"/>
            <w:shd w:val="clear" w:color="auto" w:fill="FFFF99"/>
          </w:tcPr>
          <w:p w14:paraId="451E1065" w14:textId="750FD2F6" w:rsidR="00684FEC" w:rsidRPr="007405EB" w:rsidRDefault="002A2AFE" w:rsidP="00684FEC">
            <w:pPr>
              <w:rPr>
                <w:rFonts w:ascii="Arial" w:hAnsi="Arial" w:cs="Arial"/>
                <w:sz w:val="20"/>
              </w:rPr>
            </w:pPr>
            <w:hyperlink r:id="rId11" w:history="1">
              <w:r w:rsidR="00684FEC" w:rsidRPr="007405EB">
                <w:rPr>
                  <w:rStyle w:val="Hyperlink"/>
                  <w:rFonts w:ascii="Arial" w:hAnsi="Arial" w:cs="Arial"/>
                  <w:sz w:val="20"/>
                </w:rPr>
                <w:t>https://www.michigan.gov/mdhhs</w:t>
              </w:r>
            </w:hyperlink>
          </w:p>
        </w:tc>
      </w:tr>
      <w:tr w:rsidR="0009502C" w:rsidRPr="00A2550B" w14:paraId="5C57E457" w14:textId="77777777" w:rsidTr="00137CE3">
        <w:tc>
          <w:tcPr>
            <w:tcW w:w="4338" w:type="dxa"/>
            <w:vAlign w:val="bottom"/>
          </w:tcPr>
          <w:p w14:paraId="0004C744" w14:textId="77777777" w:rsidR="0009502C" w:rsidRPr="007405EB" w:rsidRDefault="0009502C" w:rsidP="0009502C">
            <w:pPr>
              <w:rPr>
                <w:rFonts w:ascii="Arial" w:hAnsi="Arial" w:cs="Arial"/>
                <w:sz w:val="20"/>
              </w:rPr>
            </w:pPr>
            <w:r w:rsidRPr="007405EB">
              <w:rPr>
                <w:rFonts w:ascii="Arial" w:hAnsi="Arial" w:cs="Arial"/>
                <w:sz w:val="20"/>
              </w:rPr>
              <w:t>Contact Person</w:t>
            </w:r>
          </w:p>
        </w:tc>
        <w:tc>
          <w:tcPr>
            <w:tcW w:w="4292" w:type="dxa"/>
            <w:shd w:val="clear" w:color="auto" w:fill="FFFF99"/>
          </w:tcPr>
          <w:p w14:paraId="525D321A" w14:textId="03417AF2" w:rsidR="0009502C" w:rsidRPr="007405EB" w:rsidRDefault="00020743" w:rsidP="0009502C">
            <w:pPr>
              <w:rPr>
                <w:rFonts w:ascii="Arial" w:hAnsi="Arial" w:cs="Arial"/>
                <w:sz w:val="20"/>
              </w:rPr>
            </w:pPr>
            <w:r w:rsidRPr="007405EB">
              <w:rPr>
                <w:rFonts w:ascii="Arial" w:hAnsi="Arial" w:cs="Arial"/>
                <w:sz w:val="20"/>
              </w:rPr>
              <w:t>Jeffery Wieferich</w:t>
            </w:r>
          </w:p>
        </w:tc>
      </w:tr>
      <w:tr w:rsidR="008F4E85" w:rsidRPr="00A2550B" w14:paraId="4549D602" w14:textId="77777777" w:rsidTr="00137CE3">
        <w:tc>
          <w:tcPr>
            <w:tcW w:w="4338" w:type="dxa"/>
            <w:vAlign w:val="bottom"/>
          </w:tcPr>
          <w:p w14:paraId="4EF92ACE" w14:textId="61E469AB" w:rsidR="008F4E85" w:rsidRPr="007405EB" w:rsidRDefault="008F4E85" w:rsidP="0009502C">
            <w:pPr>
              <w:rPr>
                <w:rFonts w:ascii="Arial" w:hAnsi="Arial" w:cs="Arial"/>
                <w:sz w:val="20"/>
              </w:rPr>
            </w:pPr>
            <w:r w:rsidRPr="007405EB">
              <w:rPr>
                <w:rFonts w:ascii="Arial" w:hAnsi="Arial" w:cs="Arial"/>
                <w:sz w:val="20"/>
              </w:rPr>
              <w:t>Contact Title</w:t>
            </w:r>
          </w:p>
        </w:tc>
        <w:tc>
          <w:tcPr>
            <w:tcW w:w="4292" w:type="dxa"/>
            <w:shd w:val="clear" w:color="auto" w:fill="FFFF99"/>
          </w:tcPr>
          <w:p w14:paraId="47EC0A09" w14:textId="3C1D37F7" w:rsidR="008F4E85" w:rsidRPr="007405EB" w:rsidRDefault="007517DF" w:rsidP="0009502C">
            <w:pPr>
              <w:rPr>
                <w:rFonts w:ascii="Arial" w:hAnsi="Arial" w:cs="Arial"/>
                <w:sz w:val="20"/>
              </w:rPr>
            </w:pPr>
            <w:r w:rsidRPr="007405EB">
              <w:rPr>
                <w:rFonts w:ascii="Arial" w:hAnsi="Arial" w:cs="Arial"/>
                <w:sz w:val="20"/>
              </w:rPr>
              <w:t>Director, Bureau of Community Based Services</w:t>
            </w:r>
          </w:p>
        </w:tc>
      </w:tr>
      <w:tr w:rsidR="00F21316" w:rsidRPr="00A2550B" w14:paraId="5C86AA6A" w14:textId="77777777" w:rsidTr="00137CE3">
        <w:tc>
          <w:tcPr>
            <w:tcW w:w="4338" w:type="dxa"/>
            <w:vAlign w:val="bottom"/>
          </w:tcPr>
          <w:p w14:paraId="32DFBD97" w14:textId="77777777" w:rsidR="00F21316" w:rsidRPr="007405EB" w:rsidRDefault="00F21316" w:rsidP="00F21316">
            <w:pPr>
              <w:rPr>
                <w:rFonts w:ascii="Arial" w:hAnsi="Arial" w:cs="Arial"/>
                <w:sz w:val="20"/>
              </w:rPr>
            </w:pPr>
            <w:r w:rsidRPr="007405EB">
              <w:rPr>
                <w:rFonts w:ascii="Arial" w:hAnsi="Arial" w:cs="Arial"/>
                <w:sz w:val="20"/>
              </w:rPr>
              <w:t>Company Telephone Number</w:t>
            </w:r>
          </w:p>
        </w:tc>
        <w:tc>
          <w:tcPr>
            <w:tcW w:w="4292" w:type="dxa"/>
            <w:shd w:val="clear" w:color="auto" w:fill="FFFF99"/>
          </w:tcPr>
          <w:p w14:paraId="4C79177B" w14:textId="6257FEA2" w:rsidR="00F21316" w:rsidRPr="007405EB" w:rsidRDefault="00F21316" w:rsidP="00F21316">
            <w:pPr>
              <w:rPr>
                <w:rFonts w:ascii="Arial" w:hAnsi="Arial" w:cs="Arial"/>
                <w:sz w:val="20"/>
              </w:rPr>
            </w:pPr>
            <w:r w:rsidRPr="007405EB">
              <w:rPr>
                <w:rFonts w:ascii="Arial" w:hAnsi="Arial" w:cs="Arial"/>
                <w:sz w:val="20"/>
              </w:rPr>
              <w:t>517.256.6358</w:t>
            </w:r>
          </w:p>
        </w:tc>
      </w:tr>
      <w:tr w:rsidR="00F21316" w:rsidRPr="00A2550B" w14:paraId="136DEFE0" w14:textId="77777777" w:rsidTr="00137CE3">
        <w:tc>
          <w:tcPr>
            <w:tcW w:w="4338" w:type="dxa"/>
            <w:vAlign w:val="bottom"/>
          </w:tcPr>
          <w:p w14:paraId="35449174" w14:textId="77777777" w:rsidR="00F21316" w:rsidRPr="007405EB" w:rsidRDefault="00F21316" w:rsidP="00F21316">
            <w:pPr>
              <w:rPr>
                <w:rFonts w:ascii="Arial" w:hAnsi="Arial" w:cs="Arial"/>
                <w:sz w:val="20"/>
              </w:rPr>
            </w:pPr>
            <w:r w:rsidRPr="007405EB">
              <w:rPr>
                <w:rFonts w:ascii="Arial" w:hAnsi="Arial" w:cs="Arial"/>
                <w:sz w:val="20"/>
              </w:rPr>
              <w:t>Company Fax Number</w:t>
            </w:r>
          </w:p>
        </w:tc>
        <w:tc>
          <w:tcPr>
            <w:tcW w:w="4292" w:type="dxa"/>
            <w:shd w:val="clear" w:color="auto" w:fill="FFFF99"/>
          </w:tcPr>
          <w:p w14:paraId="228CED07" w14:textId="64D06C9C" w:rsidR="00F21316" w:rsidRPr="007405EB" w:rsidRDefault="00F21316" w:rsidP="00F21316">
            <w:pPr>
              <w:rPr>
                <w:rFonts w:ascii="Arial" w:hAnsi="Arial" w:cs="Arial"/>
                <w:sz w:val="20"/>
              </w:rPr>
            </w:pPr>
            <w:r w:rsidRPr="007405EB">
              <w:rPr>
                <w:rFonts w:ascii="Arial" w:hAnsi="Arial" w:cs="Arial"/>
                <w:sz w:val="20"/>
              </w:rPr>
              <w:t>517.335.5376</w:t>
            </w:r>
          </w:p>
        </w:tc>
      </w:tr>
      <w:tr w:rsidR="008F2EB2" w:rsidRPr="00A2550B" w14:paraId="11E8EEB2" w14:textId="77777777" w:rsidTr="00DE7CBA">
        <w:tc>
          <w:tcPr>
            <w:tcW w:w="4338" w:type="dxa"/>
            <w:vAlign w:val="bottom"/>
          </w:tcPr>
          <w:p w14:paraId="7B981F0A" w14:textId="77777777" w:rsidR="008F2EB2" w:rsidRPr="007405EB" w:rsidRDefault="008F2EB2" w:rsidP="008F2EB2">
            <w:pPr>
              <w:rPr>
                <w:rFonts w:ascii="Arial" w:hAnsi="Arial" w:cs="Arial"/>
                <w:sz w:val="20"/>
              </w:rPr>
            </w:pPr>
            <w:r w:rsidRPr="007405EB">
              <w:rPr>
                <w:rFonts w:ascii="Arial" w:hAnsi="Arial" w:cs="Arial"/>
                <w:sz w:val="20"/>
              </w:rPr>
              <w:t>Contact E-mail</w:t>
            </w:r>
          </w:p>
        </w:tc>
        <w:tc>
          <w:tcPr>
            <w:tcW w:w="4292" w:type="dxa"/>
            <w:shd w:val="clear" w:color="auto" w:fill="FFFF99"/>
            <w:vAlign w:val="bottom"/>
          </w:tcPr>
          <w:p w14:paraId="15EBCB74" w14:textId="7CA917A7" w:rsidR="00D85496" w:rsidRPr="007405EB" w:rsidRDefault="002A2AFE" w:rsidP="00D85496">
            <w:pPr>
              <w:rPr>
                <w:rFonts w:ascii="Arial" w:hAnsi="Arial" w:cs="Arial"/>
                <w:sz w:val="20"/>
              </w:rPr>
            </w:pPr>
            <w:hyperlink r:id="rId12" w:history="1">
              <w:r w:rsidR="00D85496" w:rsidRPr="007405EB">
                <w:rPr>
                  <w:rStyle w:val="Hyperlink"/>
                  <w:rFonts w:ascii="Arial" w:hAnsi="Arial" w:cs="Arial"/>
                  <w:sz w:val="20"/>
                </w:rPr>
                <w:t>Wieferichj@michigan.gov</w:t>
              </w:r>
            </w:hyperlink>
          </w:p>
        </w:tc>
      </w:tr>
      <w:tr w:rsidR="008F2EB2" w:rsidRPr="00A2550B" w14:paraId="37CBD940" w14:textId="77777777" w:rsidTr="00DE7CBA">
        <w:tc>
          <w:tcPr>
            <w:tcW w:w="4338" w:type="dxa"/>
            <w:tcBorders>
              <w:bottom w:val="single" w:sz="4" w:space="0" w:color="auto"/>
            </w:tcBorders>
            <w:vAlign w:val="bottom"/>
          </w:tcPr>
          <w:p w14:paraId="3019D611" w14:textId="77777777" w:rsidR="008F2EB2" w:rsidRPr="007405EB" w:rsidRDefault="008F2EB2" w:rsidP="008F2EB2">
            <w:pPr>
              <w:rPr>
                <w:rFonts w:ascii="Arial" w:hAnsi="Arial" w:cs="Arial"/>
                <w:sz w:val="20"/>
              </w:rPr>
            </w:pPr>
            <w:r w:rsidRPr="007405EB">
              <w:rPr>
                <w:rFonts w:ascii="Arial" w:hAnsi="Arial" w:cs="Arial"/>
                <w:sz w:val="20"/>
              </w:rPr>
              <w:t>Industry of Company</w:t>
            </w:r>
          </w:p>
        </w:tc>
        <w:tc>
          <w:tcPr>
            <w:tcW w:w="4292" w:type="dxa"/>
            <w:tcBorders>
              <w:bottom w:val="single" w:sz="4" w:space="0" w:color="auto"/>
            </w:tcBorders>
            <w:shd w:val="clear" w:color="auto" w:fill="FFFF99"/>
            <w:vAlign w:val="bottom"/>
          </w:tcPr>
          <w:p w14:paraId="6A3614E1" w14:textId="743D9AB2" w:rsidR="008F2EB2" w:rsidRPr="007405EB" w:rsidRDefault="008F2EB2" w:rsidP="008F2EB2">
            <w:pPr>
              <w:rPr>
                <w:rFonts w:ascii="Arial" w:hAnsi="Arial" w:cs="Arial"/>
                <w:sz w:val="20"/>
              </w:rPr>
            </w:pPr>
            <w:r w:rsidRPr="007405EB">
              <w:rPr>
                <w:rFonts w:ascii="Arial" w:hAnsi="Arial" w:cs="Arial"/>
                <w:color w:val="000000"/>
                <w:sz w:val="20"/>
              </w:rPr>
              <w:t>Medicaid Agency</w:t>
            </w:r>
          </w:p>
        </w:tc>
      </w:tr>
      <w:tr w:rsidR="0009502C" w:rsidRPr="00A2550B" w14:paraId="469B616D" w14:textId="77777777" w:rsidTr="00137CE3">
        <w:tc>
          <w:tcPr>
            <w:tcW w:w="4338" w:type="dxa"/>
            <w:shd w:val="clear" w:color="auto" w:fill="B3B3B3"/>
            <w:vAlign w:val="bottom"/>
          </w:tcPr>
          <w:p w14:paraId="225A3A1A" w14:textId="77777777" w:rsidR="0009502C" w:rsidRPr="007405EB" w:rsidRDefault="0009502C" w:rsidP="0009502C">
            <w:pPr>
              <w:rPr>
                <w:rFonts w:ascii="Arial" w:hAnsi="Arial" w:cs="Arial"/>
                <w:b/>
                <w:sz w:val="20"/>
              </w:rPr>
            </w:pPr>
            <w:r w:rsidRPr="007405EB">
              <w:rPr>
                <w:rFonts w:ascii="Arial" w:hAnsi="Arial" w:cs="Arial"/>
                <w:b/>
                <w:sz w:val="20"/>
              </w:rPr>
              <w:t>Customer 2</w:t>
            </w:r>
          </w:p>
        </w:tc>
        <w:tc>
          <w:tcPr>
            <w:tcW w:w="4292" w:type="dxa"/>
            <w:tcBorders>
              <w:bottom w:val="single" w:sz="4" w:space="0" w:color="auto"/>
            </w:tcBorders>
            <w:shd w:val="clear" w:color="auto" w:fill="B3B3B3"/>
          </w:tcPr>
          <w:p w14:paraId="7A73C6B7" w14:textId="77777777" w:rsidR="0009502C" w:rsidRPr="007405EB" w:rsidRDefault="0009502C" w:rsidP="0009502C">
            <w:pPr>
              <w:rPr>
                <w:rFonts w:ascii="Arial" w:hAnsi="Arial" w:cs="Arial"/>
                <w:sz w:val="20"/>
              </w:rPr>
            </w:pPr>
          </w:p>
        </w:tc>
      </w:tr>
      <w:tr w:rsidR="00D85496" w:rsidRPr="00A2550B" w14:paraId="1F665529" w14:textId="77777777" w:rsidTr="00DE7CBA">
        <w:tc>
          <w:tcPr>
            <w:tcW w:w="4338" w:type="dxa"/>
            <w:vAlign w:val="bottom"/>
          </w:tcPr>
          <w:p w14:paraId="51F571AE" w14:textId="77777777" w:rsidR="00D85496" w:rsidRPr="007405EB" w:rsidRDefault="00D85496" w:rsidP="00D85496">
            <w:pPr>
              <w:rPr>
                <w:rFonts w:ascii="Arial" w:hAnsi="Arial" w:cs="Arial"/>
                <w:sz w:val="20"/>
              </w:rPr>
            </w:pPr>
            <w:r w:rsidRPr="007405EB">
              <w:rPr>
                <w:rFonts w:ascii="Arial" w:hAnsi="Arial" w:cs="Arial"/>
                <w:sz w:val="20"/>
              </w:rPr>
              <w:t>Legal Name of Company or Governmental Entity</w:t>
            </w:r>
          </w:p>
        </w:tc>
        <w:tc>
          <w:tcPr>
            <w:tcW w:w="4292" w:type="dxa"/>
            <w:shd w:val="clear" w:color="auto" w:fill="FFFF99"/>
            <w:vAlign w:val="bottom"/>
          </w:tcPr>
          <w:p w14:paraId="50170D4E" w14:textId="278FE0F2" w:rsidR="00D85496" w:rsidRPr="007405EB" w:rsidRDefault="00D85496" w:rsidP="00D85496">
            <w:pPr>
              <w:rPr>
                <w:rFonts w:ascii="Arial" w:hAnsi="Arial" w:cs="Arial"/>
                <w:sz w:val="20"/>
              </w:rPr>
            </w:pPr>
            <w:r w:rsidRPr="007405EB">
              <w:rPr>
                <w:rFonts w:ascii="Arial" w:hAnsi="Arial" w:cs="Arial"/>
                <w:sz w:val="20"/>
              </w:rPr>
              <w:t>Alaska Department of Health and Social Services</w:t>
            </w:r>
          </w:p>
        </w:tc>
      </w:tr>
      <w:tr w:rsidR="00D85496" w:rsidRPr="00A2550B" w14:paraId="6949E424" w14:textId="77777777" w:rsidTr="00DE7CBA">
        <w:tc>
          <w:tcPr>
            <w:tcW w:w="4338" w:type="dxa"/>
            <w:vAlign w:val="bottom"/>
          </w:tcPr>
          <w:p w14:paraId="33DDC7FB" w14:textId="77777777" w:rsidR="00D85496" w:rsidRPr="007405EB" w:rsidRDefault="00D85496" w:rsidP="00D85496">
            <w:pPr>
              <w:rPr>
                <w:rFonts w:ascii="Arial" w:hAnsi="Arial" w:cs="Arial"/>
                <w:sz w:val="20"/>
              </w:rPr>
            </w:pPr>
            <w:r w:rsidRPr="007405EB">
              <w:rPr>
                <w:rFonts w:ascii="Arial" w:hAnsi="Arial" w:cs="Arial"/>
                <w:sz w:val="20"/>
              </w:rPr>
              <w:t>Company Mailing Address</w:t>
            </w:r>
          </w:p>
        </w:tc>
        <w:tc>
          <w:tcPr>
            <w:tcW w:w="4292" w:type="dxa"/>
            <w:shd w:val="clear" w:color="auto" w:fill="FFFF99"/>
            <w:vAlign w:val="bottom"/>
          </w:tcPr>
          <w:p w14:paraId="5E4DC9F7" w14:textId="35842719" w:rsidR="00D85496" w:rsidRPr="007405EB" w:rsidRDefault="00D85496" w:rsidP="00D85496">
            <w:pPr>
              <w:rPr>
                <w:rFonts w:ascii="Arial" w:hAnsi="Arial" w:cs="Arial"/>
                <w:sz w:val="20"/>
              </w:rPr>
            </w:pPr>
            <w:r w:rsidRPr="007405EB">
              <w:rPr>
                <w:rFonts w:ascii="Arial" w:hAnsi="Arial" w:cs="Arial"/>
                <w:color w:val="000000"/>
                <w:sz w:val="20"/>
              </w:rPr>
              <w:t>3601 C Street, Ste 934</w:t>
            </w:r>
          </w:p>
        </w:tc>
      </w:tr>
      <w:tr w:rsidR="00D85496" w:rsidRPr="00A2550B" w14:paraId="79394CB5" w14:textId="77777777" w:rsidTr="00DE7CBA">
        <w:tc>
          <w:tcPr>
            <w:tcW w:w="4338" w:type="dxa"/>
            <w:vAlign w:val="bottom"/>
          </w:tcPr>
          <w:p w14:paraId="52C229FF" w14:textId="77777777" w:rsidR="00D85496" w:rsidRPr="007405EB" w:rsidRDefault="00D85496" w:rsidP="00D85496">
            <w:pPr>
              <w:rPr>
                <w:rFonts w:ascii="Arial" w:hAnsi="Arial" w:cs="Arial"/>
                <w:sz w:val="20"/>
              </w:rPr>
            </w:pPr>
            <w:r w:rsidRPr="007405EB">
              <w:rPr>
                <w:rFonts w:ascii="Arial" w:hAnsi="Arial" w:cs="Arial"/>
                <w:sz w:val="20"/>
              </w:rPr>
              <w:t>Company City, State, Zip</w:t>
            </w:r>
          </w:p>
        </w:tc>
        <w:tc>
          <w:tcPr>
            <w:tcW w:w="4292" w:type="dxa"/>
            <w:shd w:val="clear" w:color="auto" w:fill="FFFF99"/>
            <w:vAlign w:val="bottom"/>
          </w:tcPr>
          <w:p w14:paraId="7DD1EB35" w14:textId="29DCB011" w:rsidR="00D85496" w:rsidRPr="007405EB" w:rsidRDefault="00D85496" w:rsidP="00D85496">
            <w:pPr>
              <w:rPr>
                <w:rFonts w:ascii="Arial" w:hAnsi="Arial" w:cs="Arial"/>
                <w:sz w:val="20"/>
              </w:rPr>
            </w:pPr>
            <w:r w:rsidRPr="007405EB">
              <w:rPr>
                <w:rFonts w:ascii="Arial" w:hAnsi="Arial" w:cs="Arial"/>
                <w:color w:val="000000"/>
                <w:sz w:val="20"/>
              </w:rPr>
              <w:t>Anchorage, AK 99503</w:t>
            </w:r>
          </w:p>
        </w:tc>
      </w:tr>
      <w:tr w:rsidR="00D85496" w:rsidRPr="00A2550B" w14:paraId="10F7D583" w14:textId="77777777" w:rsidTr="00DE7CBA">
        <w:tc>
          <w:tcPr>
            <w:tcW w:w="4338" w:type="dxa"/>
            <w:vAlign w:val="bottom"/>
          </w:tcPr>
          <w:p w14:paraId="2640B0B8" w14:textId="77777777" w:rsidR="00D85496" w:rsidRPr="007405EB" w:rsidRDefault="00D85496" w:rsidP="00D85496">
            <w:pPr>
              <w:rPr>
                <w:rFonts w:ascii="Arial" w:hAnsi="Arial" w:cs="Arial"/>
                <w:sz w:val="20"/>
              </w:rPr>
            </w:pPr>
            <w:r w:rsidRPr="007405EB">
              <w:rPr>
                <w:rFonts w:ascii="Arial" w:hAnsi="Arial" w:cs="Arial"/>
                <w:sz w:val="20"/>
              </w:rPr>
              <w:t>Company Website Address</w:t>
            </w:r>
          </w:p>
        </w:tc>
        <w:tc>
          <w:tcPr>
            <w:tcW w:w="4292" w:type="dxa"/>
            <w:shd w:val="clear" w:color="auto" w:fill="FFFF99"/>
            <w:vAlign w:val="bottom"/>
          </w:tcPr>
          <w:p w14:paraId="1AC84B27" w14:textId="281043FB" w:rsidR="00D85496" w:rsidRPr="007405EB" w:rsidRDefault="002A2AFE" w:rsidP="00D85496">
            <w:pPr>
              <w:rPr>
                <w:rFonts w:ascii="Arial" w:hAnsi="Arial" w:cs="Arial"/>
                <w:sz w:val="20"/>
              </w:rPr>
            </w:pPr>
            <w:hyperlink r:id="rId13" w:history="1">
              <w:r w:rsidR="00D85496" w:rsidRPr="007405EB">
                <w:rPr>
                  <w:rStyle w:val="Hyperlink"/>
                  <w:rFonts w:ascii="Arial" w:hAnsi="Arial" w:cs="Arial"/>
                  <w:sz w:val="20"/>
                </w:rPr>
                <w:t>https://dhss.alaska.gov/</w:t>
              </w:r>
            </w:hyperlink>
          </w:p>
        </w:tc>
      </w:tr>
      <w:tr w:rsidR="00D85496" w:rsidRPr="00A2550B" w14:paraId="618D8639" w14:textId="77777777" w:rsidTr="00DE7CBA">
        <w:tc>
          <w:tcPr>
            <w:tcW w:w="4338" w:type="dxa"/>
            <w:vAlign w:val="bottom"/>
          </w:tcPr>
          <w:p w14:paraId="0EC6BADD" w14:textId="77777777" w:rsidR="00D85496" w:rsidRPr="007405EB" w:rsidRDefault="00D85496" w:rsidP="00D85496">
            <w:pPr>
              <w:rPr>
                <w:rFonts w:ascii="Arial" w:hAnsi="Arial" w:cs="Arial"/>
                <w:sz w:val="20"/>
              </w:rPr>
            </w:pPr>
            <w:r w:rsidRPr="007405EB">
              <w:rPr>
                <w:rFonts w:ascii="Arial" w:hAnsi="Arial" w:cs="Arial"/>
                <w:sz w:val="20"/>
              </w:rPr>
              <w:t>Contact Person</w:t>
            </w:r>
          </w:p>
        </w:tc>
        <w:tc>
          <w:tcPr>
            <w:tcW w:w="4292" w:type="dxa"/>
            <w:shd w:val="clear" w:color="auto" w:fill="FFFF99"/>
            <w:vAlign w:val="bottom"/>
          </w:tcPr>
          <w:p w14:paraId="78FB7391" w14:textId="1463E138" w:rsidR="00D85496" w:rsidRPr="007405EB" w:rsidRDefault="00D85496" w:rsidP="00D85496">
            <w:pPr>
              <w:rPr>
                <w:rFonts w:ascii="Arial" w:hAnsi="Arial" w:cs="Arial"/>
                <w:sz w:val="20"/>
              </w:rPr>
            </w:pPr>
            <w:r w:rsidRPr="007405EB">
              <w:rPr>
                <w:rFonts w:ascii="Arial" w:hAnsi="Arial" w:cs="Arial"/>
                <w:color w:val="000000"/>
                <w:sz w:val="20"/>
              </w:rPr>
              <w:t>Gennifer Moreau-Johnson</w:t>
            </w:r>
          </w:p>
        </w:tc>
      </w:tr>
      <w:tr w:rsidR="00D85496" w:rsidRPr="00A2550B" w14:paraId="39B779B4" w14:textId="77777777" w:rsidTr="00DE7CBA">
        <w:tc>
          <w:tcPr>
            <w:tcW w:w="4338" w:type="dxa"/>
            <w:vAlign w:val="bottom"/>
          </w:tcPr>
          <w:p w14:paraId="0763A6FD" w14:textId="0623858B" w:rsidR="00D85496" w:rsidRPr="007405EB" w:rsidRDefault="00D85496" w:rsidP="00D85496">
            <w:pPr>
              <w:rPr>
                <w:rFonts w:ascii="Arial" w:hAnsi="Arial" w:cs="Arial"/>
                <w:sz w:val="20"/>
              </w:rPr>
            </w:pPr>
            <w:r w:rsidRPr="007405EB">
              <w:rPr>
                <w:rFonts w:ascii="Arial" w:hAnsi="Arial" w:cs="Arial"/>
                <w:sz w:val="20"/>
              </w:rPr>
              <w:t>Contact Title</w:t>
            </w:r>
          </w:p>
        </w:tc>
        <w:tc>
          <w:tcPr>
            <w:tcW w:w="4292" w:type="dxa"/>
            <w:shd w:val="clear" w:color="auto" w:fill="FFFF99"/>
            <w:vAlign w:val="bottom"/>
          </w:tcPr>
          <w:p w14:paraId="1509F2E2" w14:textId="56C3E47A" w:rsidR="00D85496" w:rsidRPr="007405EB" w:rsidRDefault="00D85496" w:rsidP="00D85496">
            <w:pPr>
              <w:rPr>
                <w:rFonts w:ascii="Arial" w:hAnsi="Arial" w:cs="Arial"/>
                <w:sz w:val="20"/>
              </w:rPr>
            </w:pPr>
            <w:r w:rsidRPr="007405EB">
              <w:rPr>
                <w:rFonts w:ascii="Arial" w:hAnsi="Arial" w:cs="Arial"/>
                <w:color w:val="000000"/>
                <w:sz w:val="20"/>
              </w:rPr>
              <w:t>Director, Division of Behavioral Health</w:t>
            </w:r>
          </w:p>
        </w:tc>
      </w:tr>
      <w:tr w:rsidR="00D85496" w:rsidRPr="00A2550B" w14:paraId="116C22A6" w14:textId="77777777" w:rsidTr="00DE7CBA">
        <w:tc>
          <w:tcPr>
            <w:tcW w:w="4338" w:type="dxa"/>
            <w:vAlign w:val="bottom"/>
          </w:tcPr>
          <w:p w14:paraId="0D631EFD" w14:textId="77777777" w:rsidR="00D85496" w:rsidRPr="007405EB" w:rsidRDefault="00D85496" w:rsidP="00D85496">
            <w:pPr>
              <w:rPr>
                <w:rFonts w:ascii="Arial" w:hAnsi="Arial" w:cs="Arial"/>
                <w:sz w:val="20"/>
              </w:rPr>
            </w:pPr>
            <w:r w:rsidRPr="007405EB">
              <w:rPr>
                <w:rFonts w:ascii="Arial" w:hAnsi="Arial" w:cs="Arial"/>
                <w:sz w:val="20"/>
              </w:rPr>
              <w:t>Company Telephone Number</w:t>
            </w:r>
          </w:p>
        </w:tc>
        <w:tc>
          <w:tcPr>
            <w:tcW w:w="4292" w:type="dxa"/>
            <w:shd w:val="clear" w:color="auto" w:fill="FFFF99"/>
            <w:vAlign w:val="bottom"/>
          </w:tcPr>
          <w:p w14:paraId="2EA88111" w14:textId="57F7809E" w:rsidR="00D85496" w:rsidRPr="007405EB" w:rsidRDefault="00D85496" w:rsidP="00D85496">
            <w:pPr>
              <w:rPr>
                <w:rFonts w:ascii="Arial" w:hAnsi="Arial" w:cs="Arial"/>
                <w:sz w:val="20"/>
              </w:rPr>
            </w:pPr>
            <w:r w:rsidRPr="007405EB">
              <w:rPr>
                <w:rFonts w:ascii="Arial" w:hAnsi="Arial" w:cs="Arial"/>
                <w:color w:val="000000"/>
                <w:sz w:val="20"/>
              </w:rPr>
              <w:t>907.269.4804</w:t>
            </w:r>
          </w:p>
        </w:tc>
      </w:tr>
      <w:tr w:rsidR="00D85496" w:rsidRPr="00A2550B" w14:paraId="1D2A5329" w14:textId="77777777" w:rsidTr="00DE7CBA">
        <w:tc>
          <w:tcPr>
            <w:tcW w:w="4338" w:type="dxa"/>
            <w:vAlign w:val="bottom"/>
          </w:tcPr>
          <w:p w14:paraId="7C79F9FE" w14:textId="77777777" w:rsidR="00D85496" w:rsidRPr="007405EB" w:rsidRDefault="00D85496" w:rsidP="00D85496">
            <w:pPr>
              <w:rPr>
                <w:rFonts w:ascii="Arial" w:hAnsi="Arial" w:cs="Arial"/>
                <w:sz w:val="20"/>
              </w:rPr>
            </w:pPr>
            <w:r w:rsidRPr="007405EB">
              <w:rPr>
                <w:rFonts w:ascii="Arial" w:hAnsi="Arial" w:cs="Arial"/>
                <w:sz w:val="20"/>
              </w:rPr>
              <w:t>Company Fax Number</w:t>
            </w:r>
          </w:p>
        </w:tc>
        <w:tc>
          <w:tcPr>
            <w:tcW w:w="4292" w:type="dxa"/>
            <w:shd w:val="clear" w:color="auto" w:fill="FFFF99"/>
            <w:vAlign w:val="bottom"/>
          </w:tcPr>
          <w:p w14:paraId="6E786E3F" w14:textId="4D0E2476" w:rsidR="00D85496" w:rsidRPr="007405EB" w:rsidRDefault="00D85496" w:rsidP="00D85496">
            <w:pPr>
              <w:rPr>
                <w:rFonts w:ascii="Arial" w:hAnsi="Arial" w:cs="Arial"/>
                <w:sz w:val="20"/>
              </w:rPr>
            </w:pPr>
            <w:r w:rsidRPr="007405EB">
              <w:rPr>
                <w:rFonts w:ascii="Arial" w:hAnsi="Arial" w:cs="Arial"/>
                <w:color w:val="000000"/>
                <w:sz w:val="20"/>
              </w:rPr>
              <w:t>907.269.8166</w:t>
            </w:r>
          </w:p>
        </w:tc>
      </w:tr>
      <w:tr w:rsidR="00D85496" w:rsidRPr="00A2550B" w14:paraId="157B4B02" w14:textId="77777777" w:rsidTr="00DE7CBA">
        <w:tc>
          <w:tcPr>
            <w:tcW w:w="4338" w:type="dxa"/>
            <w:vAlign w:val="bottom"/>
          </w:tcPr>
          <w:p w14:paraId="7BC51180" w14:textId="77777777" w:rsidR="00D85496" w:rsidRPr="007405EB" w:rsidRDefault="00D85496" w:rsidP="00D85496">
            <w:pPr>
              <w:rPr>
                <w:rFonts w:ascii="Arial" w:hAnsi="Arial" w:cs="Arial"/>
                <w:sz w:val="20"/>
              </w:rPr>
            </w:pPr>
            <w:r w:rsidRPr="007405EB">
              <w:rPr>
                <w:rFonts w:ascii="Arial" w:hAnsi="Arial" w:cs="Arial"/>
                <w:sz w:val="20"/>
              </w:rPr>
              <w:t>Contact E-mail</w:t>
            </w:r>
          </w:p>
        </w:tc>
        <w:tc>
          <w:tcPr>
            <w:tcW w:w="4292" w:type="dxa"/>
            <w:shd w:val="clear" w:color="auto" w:fill="FFFF99"/>
            <w:vAlign w:val="bottom"/>
          </w:tcPr>
          <w:p w14:paraId="523D51E3" w14:textId="17F95635" w:rsidR="00D85496" w:rsidRPr="007405EB" w:rsidRDefault="002A2AFE" w:rsidP="00D85496">
            <w:pPr>
              <w:rPr>
                <w:rFonts w:ascii="Arial" w:hAnsi="Arial" w:cs="Arial"/>
                <w:sz w:val="20"/>
              </w:rPr>
            </w:pPr>
            <w:hyperlink r:id="rId14" w:history="1">
              <w:r w:rsidR="00D85496" w:rsidRPr="007405EB">
                <w:rPr>
                  <w:rStyle w:val="Hyperlink"/>
                  <w:rFonts w:ascii="Arial" w:hAnsi="Arial" w:cs="Arial"/>
                  <w:sz w:val="20"/>
                </w:rPr>
                <w:t>gennifer.moreau-johnson@alaska.gov</w:t>
              </w:r>
            </w:hyperlink>
          </w:p>
        </w:tc>
      </w:tr>
      <w:tr w:rsidR="00D85496" w:rsidRPr="00A2550B" w14:paraId="40836350" w14:textId="77777777" w:rsidTr="00DE7CBA">
        <w:tc>
          <w:tcPr>
            <w:tcW w:w="4338" w:type="dxa"/>
            <w:tcBorders>
              <w:bottom w:val="single" w:sz="4" w:space="0" w:color="auto"/>
            </w:tcBorders>
            <w:vAlign w:val="bottom"/>
          </w:tcPr>
          <w:p w14:paraId="35F94187" w14:textId="77777777" w:rsidR="00D85496" w:rsidRPr="007405EB" w:rsidRDefault="00D85496" w:rsidP="00D85496">
            <w:pPr>
              <w:rPr>
                <w:rFonts w:ascii="Arial" w:hAnsi="Arial" w:cs="Arial"/>
                <w:sz w:val="20"/>
              </w:rPr>
            </w:pPr>
            <w:r w:rsidRPr="007405EB">
              <w:rPr>
                <w:rFonts w:ascii="Arial" w:hAnsi="Arial" w:cs="Arial"/>
                <w:sz w:val="20"/>
              </w:rPr>
              <w:t>Industry of Company</w:t>
            </w:r>
          </w:p>
        </w:tc>
        <w:tc>
          <w:tcPr>
            <w:tcW w:w="4292" w:type="dxa"/>
            <w:tcBorders>
              <w:bottom w:val="single" w:sz="4" w:space="0" w:color="auto"/>
            </w:tcBorders>
            <w:shd w:val="clear" w:color="auto" w:fill="FFFF99"/>
            <w:vAlign w:val="bottom"/>
          </w:tcPr>
          <w:p w14:paraId="36539B8E" w14:textId="4B6B0E6C" w:rsidR="00D85496" w:rsidRPr="007405EB" w:rsidRDefault="00D85496" w:rsidP="00D85496">
            <w:pPr>
              <w:rPr>
                <w:rFonts w:ascii="Arial" w:hAnsi="Arial" w:cs="Arial"/>
                <w:sz w:val="20"/>
              </w:rPr>
            </w:pPr>
            <w:r w:rsidRPr="007405EB">
              <w:rPr>
                <w:rFonts w:ascii="Arial" w:hAnsi="Arial" w:cs="Arial"/>
                <w:color w:val="000000"/>
                <w:sz w:val="20"/>
              </w:rPr>
              <w:t>Medicaid Agency</w:t>
            </w:r>
          </w:p>
        </w:tc>
      </w:tr>
    </w:tbl>
    <w:p w14:paraId="7EE2343C" w14:textId="77777777" w:rsidR="0000708C" w:rsidRPr="00A2550B" w:rsidRDefault="0000708C" w:rsidP="0000708C">
      <w:pPr>
        <w:widowControl/>
        <w:rPr>
          <w:rFonts w:asciiTheme="minorHAnsi" w:hAnsiTheme="minorHAnsi" w:cstheme="minorHAnsi"/>
          <w:szCs w:val="24"/>
        </w:rPr>
      </w:pPr>
    </w:p>
    <w:p w14:paraId="48FC3259" w14:textId="6304C439" w:rsidR="0043255D" w:rsidRPr="0043255D" w:rsidRDefault="0009502C" w:rsidP="0043255D">
      <w:pPr>
        <w:pStyle w:val="ListParagraph"/>
        <w:widowControl/>
        <w:numPr>
          <w:ilvl w:val="2"/>
          <w:numId w:val="15"/>
        </w:numPr>
        <w:rPr>
          <w:rFonts w:asciiTheme="minorHAnsi" w:hAnsiTheme="minorHAnsi" w:cstheme="minorHAnsi"/>
          <w:szCs w:val="24"/>
        </w:rPr>
      </w:pPr>
      <w:bookmarkStart w:id="2" w:name="_Hlk76535803"/>
      <w:r w:rsidRPr="0043255D">
        <w:rPr>
          <w:rFonts w:asciiTheme="minorHAnsi" w:hAnsiTheme="minorHAnsi" w:cstheme="minorHAnsi"/>
          <w:b/>
          <w:szCs w:val="24"/>
        </w:rPr>
        <w:t xml:space="preserve">Registration to do Business </w:t>
      </w:r>
      <w:r w:rsidR="00A35F83" w:rsidRPr="0043255D">
        <w:rPr>
          <w:rFonts w:asciiTheme="minorHAnsi" w:hAnsiTheme="minorHAnsi" w:cstheme="minorHAnsi"/>
          <w:bCs/>
          <w:szCs w:val="24"/>
        </w:rPr>
        <w:t>–</w:t>
      </w:r>
      <w:r w:rsidRPr="0043255D">
        <w:rPr>
          <w:rFonts w:asciiTheme="minorHAnsi" w:hAnsiTheme="minorHAnsi" w:cstheme="minorHAnsi"/>
          <w:bCs/>
          <w:szCs w:val="24"/>
        </w:rPr>
        <w:t xml:space="preserve"> </w:t>
      </w:r>
      <w:r w:rsidR="00A35F83" w:rsidRPr="0043255D">
        <w:rPr>
          <w:rFonts w:asciiTheme="minorHAnsi" w:hAnsiTheme="minorHAnsi" w:cstheme="minorHAnsi"/>
          <w:bCs/>
          <w:szCs w:val="24"/>
        </w:rPr>
        <w:t>Per RFP 2.3.</w:t>
      </w:r>
      <w:r w:rsidR="002F3BEF" w:rsidRPr="0043255D">
        <w:rPr>
          <w:rFonts w:asciiTheme="minorHAnsi" w:hAnsiTheme="minorHAnsi" w:cstheme="minorHAnsi"/>
          <w:bCs/>
          <w:szCs w:val="24"/>
        </w:rPr>
        <w:t>8</w:t>
      </w:r>
      <w:r w:rsidR="00A35F83" w:rsidRPr="0043255D">
        <w:rPr>
          <w:rFonts w:asciiTheme="minorHAnsi" w:hAnsiTheme="minorHAnsi" w:cstheme="minorHAnsi"/>
          <w:bCs/>
          <w:szCs w:val="24"/>
        </w:rPr>
        <w:t>,</w:t>
      </w:r>
      <w:r w:rsidR="00A35F83" w:rsidRPr="0043255D">
        <w:rPr>
          <w:rFonts w:asciiTheme="minorHAnsi" w:hAnsiTheme="minorHAnsi" w:cstheme="minorHAnsi"/>
          <w:b/>
          <w:szCs w:val="24"/>
        </w:rPr>
        <w:t xml:space="preserve"> </w:t>
      </w:r>
      <w:r w:rsidRPr="0043255D">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43255D">
        <w:rPr>
          <w:rFonts w:asciiTheme="minorHAnsi" w:hAnsiTheme="minorHAnsi" w:cstheme="minorHAnsi"/>
          <w:szCs w:val="24"/>
        </w:rPr>
        <w:t xml:space="preserve">Secretary of State </w:t>
      </w:r>
      <w:r w:rsidRPr="0043255D">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15EED386" w14:textId="2EF5B459" w:rsidR="0009502C" w:rsidRPr="007405EB" w:rsidRDefault="00A46E29" w:rsidP="0009502C">
            <w:pPr>
              <w:rPr>
                <w:rFonts w:ascii="Arial" w:hAnsi="Arial" w:cs="Arial"/>
                <w:sz w:val="20"/>
              </w:rPr>
            </w:pPr>
            <w:r w:rsidRPr="007405EB">
              <w:rPr>
                <w:rFonts w:ascii="Arial" w:hAnsi="Arial" w:cs="Arial"/>
                <w:sz w:val="20"/>
              </w:rPr>
              <w:lastRenderedPageBreak/>
              <w:t xml:space="preserve">Milliman, Inc is actively registered to do business within the State by Indiana Secretary of State and the Indiana Department of Administration, Procurement Division. </w:t>
            </w:r>
            <w:r w:rsidRPr="00C2331C">
              <w:rPr>
                <w:rFonts w:ascii="Arial" w:hAnsi="Arial" w:cs="Arial"/>
                <w:sz w:val="20"/>
              </w:rPr>
              <w:t xml:space="preserve">Please see </w:t>
            </w:r>
            <w:r w:rsidR="00C2331C" w:rsidRPr="00C2331C">
              <w:rPr>
                <w:rFonts w:ascii="Arial" w:hAnsi="Arial" w:cs="Arial"/>
                <w:sz w:val="20"/>
              </w:rPr>
              <w:t>Attachment 3 included with our proposal</w:t>
            </w:r>
            <w:r w:rsidRPr="00C2331C">
              <w:rPr>
                <w:rFonts w:ascii="Arial" w:hAnsi="Arial" w:cs="Arial"/>
                <w:sz w:val="20"/>
              </w:rPr>
              <w:t xml:space="preserve"> for our </w:t>
            </w:r>
            <w:bookmarkStart w:id="3" w:name="_Hlk102988799"/>
            <w:r w:rsidRPr="00C2331C">
              <w:rPr>
                <w:rFonts w:ascii="Arial" w:hAnsi="Arial" w:cs="Arial"/>
                <w:sz w:val="20"/>
              </w:rPr>
              <w:t>Indiana Certificate of Existence.</w:t>
            </w:r>
            <w:bookmarkEnd w:id="3"/>
          </w:p>
          <w:p w14:paraId="2884138B" w14:textId="6E2B8088" w:rsidR="0009502C" w:rsidRPr="007405EB" w:rsidRDefault="0009502C" w:rsidP="0009502C">
            <w:pPr>
              <w:rPr>
                <w:rFonts w:ascii="Arial" w:hAnsi="Arial" w:cs="Arial"/>
                <w:sz w:val="20"/>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DE7CBA">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4EA4F8C9" w14:textId="3D220364" w:rsidR="0009502C" w:rsidRPr="00C2331C" w:rsidRDefault="002040FB" w:rsidP="0009502C">
            <w:pPr>
              <w:rPr>
                <w:rFonts w:ascii="Arial" w:hAnsi="Arial" w:cs="Arial"/>
                <w:sz w:val="20"/>
              </w:rPr>
            </w:pPr>
            <w:r w:rsidRPr="007405EB">
              <w:rPr>
                <w:rFonts w:ascii="Arial" w:hAnsi="Arial" w:cs="Arial"/>
                <w:sz w:val="20"/>
              </w:rPr>
              <w:t xml:space="preserve">Please </w:t>
            </w:r>
            <w:r w:rsidRPr="00C2331C">
              <w:rPr>
                <w:rFonts w:ascii="Arial" w:hAnsi="Arial" w:cs="Arial"/>
                <w:sz w:val="20"/>
              </w:rPr>
              <w:t xml:space="preserve">see </w:t>
            </w:r>
            <w:r w:rsidR="00C2331C" w:rsidRPr="00C2331C">
              <w:rPr>
                <w:rFonts w:ascii="Arial" w:hAnsi="Arial" w:cs="Arial"/>
                <w:sz w:val="20"/>
              </w:rPr>
              <w:t>Attachment 1 included with our proposal</w:t>
            </w:r>
            <w:r w:rsidRPr="00C2331C">
              <w:rPr>
                <w:rFonts w:ascii="Arial" w:hAnsi="Arial" w:cs="Arial"/>
                <w:sz w:val="20"/>
              </w:rPr>
              <w:t xml:space="preserve"> for proof of authority for Paul Houchens to commit Milliman contractually.</w:t>
            </w:r>
          </w:p>
          <w:p w14:paraId="64842847" w14:textId="063587BC" w:rsidR="0009502C" w:rsidRPr="007405EB" w:rsidRDefault="0009502C" w:rsidP="0009502C">
            <w:pPr>
              <w:rPr>
                <w:rFonts w:ascii="Arial" w:hAnsi="Arial" w:cs="Arial"/>
                <w:sz w:val="20"/>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020EA">
        <w:rPr>
          <w:rFonts w:asciiTheme="minorHAnsi" w:hAnsiTheme="minorHAnsi" w:cstheme="minorHAnsi"/>
          <w:b/>
          <w:szCs w:val="24"/>
        </w:rPr>
        <w:t>Subcontractors -</w:t>
      </w:r>
      <w:r w:rsidRPr="007020EA">
        <w:rPr>
          <w:rFonts w:asciiTheme="minorHAnsi" w:hAnsiTheme="minorHAnsi" w:cstheme="minorHAnsi"/>
          <w:szCs w:val="24"/>
        </w:rPr>
        <w:t xml:space="preserve"> The Respondent is responsible for the performance of any obligations that</w:t>
      </w:r>
      <w:r w:rsidRPr="00757BBC">
        <w:rPr>
          <w:rFonts w:asciiTheme="minorHAnsi" w:hAnsiTheme="minorHAnsi" w:cstheme="minorHAnsi"/>
          <w:szCs w:val="24"/>
        </w:rPr>
        <w:t xml:space="preserve">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 xml:space="preserve">form of organization, and an indication from the subcontractor of a willingness to carry out these responsibilities are to be included for each subcontractor. This assurance in no </w:t>
      </w:r>
      <w:r w:rsidRPr="00757BBC">
        <w:rPr>
          <w:rFonts w:asciiTheme="minorHAnsi" w:hAnsiTheme="minorHAnsi" w:cstheme="minorHAnsi"/>
          <w:szCs w:val="24"/>
        </w:rPr>
        <w:lastRenderedPageBreak/>
        <w:t>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5"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6"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6BCE69E3" w14:textId="39CC420B" w:rsidR="003F442B" w:rsidRPr="00A2550B" w:rsidRDefault="00EA1E04" w:rsidP="00757BBC">
      <w:pPr>
        <w:widowControl/>
        <w:ind w:left="720"/>
        <w:rPr>
          <w:rFonts w:asciiTheme="minorHAnsi" w:hAnsiTheme="minorHAnsi" w:cstheme="minorHAnsi"/>
          <w:szCs w:val="24"/>
        </w:rPr>
      </w:pPr>
      <w:proofErr w:type="spellStart"/>
      <w:r w:rsidRPr="00A2550B">
        <w:rPr>
          <w:rFonts w:asciiTheme="minorHAnsi" w:hAnsiTheme="minorHAnsi" w:cstheme="minorHAnsi"/>
          <w:szCs w:val="24"/>
        </w:rPr>
        <w:t>IVOSB</w:t>
      </w:r>
      <w:proofErr w:type="spellEnd"/>
      <w:r w:rsidRPr="00A2550B">
        <w:rPr>
          <w:rFonts w:asciiTheme="minorHAnsi" w:hAnsiTheme="minorHAnsi" w:cstheme="minorHAnsi"/>
          <w:szCs w:val="24"/>
        </w:rPr>
        <w:t xml:space="preserve">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w:t>
      </w:r>
      <w:proofErr w:type="spellStart"/>
      <w:r w:rsidRPr="00A2550B">
        <w:rPr>
          <w:rFonts w:asciiTheme="minorHAnsi" w:hAnsiTheme="minorHAnsi" w:cstheme="minorHAnsi"/>
          <w:szCs w:val="24"/>
        </w:rPr>
        <w:t>IDOA</w:t>
      </w:r>
      <w:proofErr w:type="spellEnd"/>
      <w:r w:rsidRPr="00A2550B">
        <w:rPr>
          <w:rFonts w:asciiTheme="minorHAnsi" w:hAnsiTheme="minorHAnsi" w:cstheme="minorHAnsi"/>
          <w:szCs w:val="24"/>
        </w:rPr>
        <w:t xml:space="preserve">, this should have already been provided (as with </w:t>
      </w:r>
      <w:proofErr w:type="spellStart"/>
      <w:r w:rsidRPr="00A2550B">
        <w:rPr>
          <w:rFonts w:asciiTheme="minorHAnsi" w:hAnsiTheme="minorHAnsi" w:cstheme="minorHAnsi"/>
          <w:szCs w:val="24"/>
        </w:rPr>
        <w:t>MWBEs</w:t>
      </w:r>
      <w:proofErr w:type="spellEnd"/>
      <w:r w:rsidRPr="00A2550B">
        <w:rPr>
          <w:rFonts w:asciiTheme="minorHAnsi" w:hAnsiTheme="minorHAnsi" w:cstheme="minorHAnsi"/>
          <w:szCs w:val="24"/>
        </w:rPr>
        <w:t xml:space="preserve">).  </w:t>
      </w:r>
      <w:proofErr w:type="spellStart"/>
      <w:r w:rsidRPr="00A2550B">
        <w:rPr>
          <w:rFonts w:asciiTheme="minorHAnsi" w:hAnsiTheme="minorHAnsi" w:cstheme="minorHAnsi"/>
          <w:szCs w:val="24"/>
        </w:rPr>
        <w:t>IVOSBs</w:t>
      </w:r>
      <w:proofErr w:type="spellEnd"/>
      <w:r w:rsidRPr="00A2550B">
        <w:rPr>
          <w:rFonts w:asciiTheme="minorHAnsi" w:hAnsiTheme="minorHAnsi" w:cstheme="minorHAnsi"/>
          <w:szCs w:val="24"/>
        </w:rPr>
        <w:t xml:space="preserve"> that are only registered with the Federal Center for Veterans Business Enterprise will need to ensure that they also have a Bidder ID provided by </w:t>
      </w:r>
      <w:proofErr w:type="spellStart"/>
      <w:r w:rsidRPr="00A2550B">
        <w:rPr>
          <w:rFonts w:asciiTheme="minorHAnsi" w:hAnsiTheme="minorHAnsi" w:cstheme="minorHAnsi"/>
          <w:szCs w:val="24"/>
        </w:rPr>
        <w:t>IDOA</w:t>
      </w:r>
      <w:proofErr w:type="spellEnd"/>
      <w:r w:rsidRPr="00A2550B">
        <w:rPr>
          <w:rFonts w:asciiTheme="minorHAnsi" w:hAnsiTheme="minorHAnsi" w:cstheme="minorHAnsi"/>
          <w:szCs w:val="24"/>
        </w:rPr>
        <w:t xml:space="preserve"> (please see </w:t>
      </w:r>
      <w:hyperlink r:id="rId17"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52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878"/>
        <w:gridCol w:w="3148"/>
        <w:gridCol w:w="3060"/>
      </w:tblGrid>
      <w:tr w:rsidR="002040FB" w:rsidRPr="00A2550B" w14:paraId="67D7BDF6" w14:textId="77777777" w:rsidTr="00331F48">
        <w:trPr>
          <w:cantSplit/>
          <w:trHeight w:val="278"/>
        </w:trPr>
        <w:tc>
          <w:tcPr>
            <w:tcW w:w="1583" w:type="pct"/>
            <w:shd w:val="clear" w:color="auto" w:fill="FFFF99"/>
          </w:tcPr>
          <w:p w14:paraId="0B3C52BC" w14:textId="77777777" w:rsidR="002040FB" w:rsidRPr="00B7614E" w:rsidRDefault="002040FB" w:rsidP="002040FB">
            <w:pPr>
              <w:rPr>
                <w:rFonts w:ascii="Arial" w:hAnsi="Arial" w:cs="Arial"/>
                <w:sz w:val="20"/>
              </w:rPr>
            </w:pPr>
            <w:r w:rsidRPr="00B7614E">
              <w:rPr>
                <w:rFonts w:ascii="Arial" w:hAnsi="Arial" w:cs="Arial"/>
                <w:sz w:val="20"/>
              </w:rPr>
              <w:lastRenderedPageBreak/>
              <w:t xml:space="preserve">a. </w:t>
            </w:r>
            <w:r w:rsidRPr="00B7614E">
              <w:rPr>
                <w:rFonts w:ascii="Arial" w:hAnsi="Arial" w:cs="Arial"/>
                <w:b/>
                <w:sz w:val="20"/>
              </w:rPr>
              <w:t>Axon Advisors LLC</w:t>
            </w:r>
            <w:r w:rsidRPr="00B7614E">
              <w:rPr>
                <w:rFonts w:ascii="Arial" w:hAnsi="Arial" w:cs="Arial"/>
                <w:sz w:val="20"/>
              </w:rPr>
              <w:t xml:space="preserve"> , </w:t>
            </w:r>
          </w:p>
          <w:p w14:paraId="243EA91A" w14:textId="77777777" w:rsidR="002040FB" w:rsidRPr="00B7614E" w:rsidRDefault="002040FB" w:rsidP="002040FB">
            <w:pPr>
              <w:rPr>
                <w:rFonts w:ascii="Arial" w:hAnsi="Arial" w:cs="Arial"/>
                <w:sz w:val="20"/>
              </w:rPr>
            </w:pPr>
            <w:r w:rsidRPr="00B7614E">
              <w:rPr>
                <w:rFonts w:ascii="Arial" w:hAnsi="Arial" w:cs="Arial"/>
                <w:sz w:val="20"/>
              </w:rPr>
              <w:t>333 N. Alabama St., Suite 350 Indianapolis, IN 46204, incorporated in the state of Indiana.</w:t>
            </w:r>
          </w:p>
          <w:p w14:paraId="12EA03C5" w14:textId="77777777" w:rsidR="002040FB" w:rsidRPr="00B7614E" w:rsidRDefault="002040FB" w:rsidP="002040FB">
            <w:pPr>
              <w:rPr>
                <w:rFonts w:ascii="Arial" w:hAnsi="Arial" w:cs="Arial"/>
                <w:sz w:val="20"/>
              </w:rPr>
            </w:pPr>
          </w:p>
          <w:p w14:paraId="05A278FB" w14:textId="386EC457" w:rsidR="006A0BD6" w:rsidRPr="00B7614E" w:rsidRDefault="002040FB" w:rsidP="006A0BD6">
            <w:pPr>
              <w:rPr>
                <w:rFonts w:ascii="Arial" w:hAnsi="Arial" w:cs="Arial"/>
                <w:color w:val="000000" w:themeColor="text1"/>
                <w:sz w:val="20"/>
              </w:rPr>
            </w:pPr>
            <w:r w:rsidRPr="00B7614E">
              <w:rPr>
                <w:rFonts w:ascii="Arial" w:hAnsi="Arial" w:cs="Arial"/>
                <w:color w:val="000000" w:themeColor="text1"/>
                <w:sz w:val="20"/>
              </w:rPr>
              <w:t xml:space="preserve">b. Axon Advisors will support Milliman on this RFP in </w:t>
            </w:r>
            <w:r w:rsidR="003C5A48" w:rsidRPr="00B7614E">
              <w:rPr>
                <w:rFonts w:ascii="Arial" w:hAnsi="Arial" w:cs="Arial"/>
                <w:color w:val="000000" w:themeColor="text1"/>
                <w:sz w:val="20"/>
              </w:rPr>
              <w:t>the following</w:t>
            </w:r>
            <w:r w:rsidRPr="00B7614E">
              <w:rPr>
                <w:rFonts w:ascii="Arial" w:hAnsi="Arial" w:cs="Arial"/>
                <w:color w:val="000000" w:themeColor="text1"/>
                <w:sz w:val="20"/>
              </w:rPr>
              <w:t xml:space="preserve"> ways</w:t>
            </w:r>
            <w:r w:rsidR="003C5A48" w:rsidRPr="00B7614E">
              <w:rPr>
                <w:rFonts w:ascii="Arial" w:hAnsi="Arial" w:cs="Arial"/>
                <w:color w:val="000000" w:themeColor="text1"/>
                <w:sz w:val="20"/>
              </w:rPr>
              <w:t>:</w:t>
            </w:r>
          </w:p>
          <w:p w14:paraId="02137723" w14:textId="77777777" w:rsidR="003C5A48" w:rsidRPr="00B7614E" w:rsidRDefault="003C5A48" w:rsidP="006A0BD6">
            <w:pPr>
              <w:rPr>
                <w:rFonts w:ascii="Arial" w:hAnsi="Arial" w:cs="Arial"/>
                <w:color w:val="000000" w:themeColor="text1"/>
                <w:sz w:val="20"/>
              </w:rPr>
            </w:pPr>
          </w:p>
          <w:p w14:paraId="79CEA072" w14:textId="5E526C16" w:rsidR="006A0BD6" w:rsidRPr="00B7614E" w:rsidRDefault="006A0BD6" w:rsidP="006A0BD6">
            <w:pPr>
              <w:rPr>
                <w:rFonts w:ascii="Arial" w:hAnsi="Arial" w:cs="Arial"/>
                <w:color w:val="000000" w:themeColor="text1"/>
                <w:sz w:val="20"/>
              </w:rPr>
            </w:pPr>
            <w:r w:rsidRPr="00B7614E">
              <w:rPr>
                <w:rFonts w:ascii="Arial" w:hAnsi="Arial" w:cs="Arial"/>
                <w:color w:val="000000" w:themeColor="text1"/>
                <w:sz w:val="20"/>
              </w:rPr>
              <w:t>• Subject matter expertise</w:t>
            </w:r>
          </w:p>
          <w:p w14:paraId="06EE2EF4" w14:textId="5567B29B" w:rsidR="006A0BD6" w:rsidRPr="00B7614E" w:rsidRDefault="006A0BD6" w:rsidP="006A0BD6">
            <w:pPr>
              <w:rPr>
                <w:rFonts w:ascii="Arial" w:hAnsi="Arial" w:cs="Arial"/>
                <w:color w:val="000000" w:themeColor="text1"/>
                <w:sz w:val="20"/>
              </w:rPr>
            </w:pPr>
            <w:r w:rsidRPr="00B7614E">
              <w:rPr>
                <w:rFonts w:ascii="Arial" w:hAnsi="Arial" w:cs="Arial"/>
                <w:color w:val="000000" w:themeColor="text1"/>
                <w:sz w:val="20"/>
              </w:rPr>
              <w:t>• Regulatory expertise with Indiana Administrative Code</w:t>
            </w:r>
          </w:p>
          <w:p w14:paraId="75FE6641" w14:textId="3E451A9B" w:rsidR="006A0BD6" w:rsidRPr="00B7614E" w:rsidRDefault="006A0BD6" w:rsidP="006A0BD6">
            <w:pPr>
              <w:rPr>
                <w:rFonts w:ascii="Arial" w:hAnsi="Arial" w:cs="Arial"/>
                <w:color w:val="000000" w:themeColor="text1"/>
                <w:sz w:val="20"/>
              </w:rPr>
            </w:pPr>
            <w:r w:rsidRPr="00B7614E">
              <w:rPr>
                <w:rFonts w:ascii="Arial" w:hAnsi="Arial" w:cs="Arial"/>
                <w:color w:val="000000" w:themeColor="text1"/>
                <w:sz w:val="20"/>
              </w:rPr>
              <w:t>• Assist with the drafting of new rules and the promulgation process</w:t>
            </w:r>
          </w:p>
          <w:p w14:paraId="188C6AA5" w14:textId="77777777" w:rsidR="002040FB" w:rsidRPr="00B7614E" w:rsidRDefault="002040FB" w:rsidP="002040FB">
            <w:pPr>
              <w:rPr>
                <w:rFonts w:ascii="Arial" w:hAnsi="Arial" w:cs="Arial"/>
                <w:sz w:val="20"/>
              </w:rPr>
            </w:pPr>
          </w:p>
          <w:p w14:paraId="5DE40106" w14:textId="0C6F150D" w:rsidR="002040FB" w:rsidRPr="00B7614E" w:rsidRDefault="002040FB" w:rsidP="002040FB">
            <w:pPr>
              <w:rPr>
                <w:rFonts w:ascii="Arial" w:hAnsi="Arial" w:cs="Arial"/>
                <w:color w:val="000000" w:themeColor="text1"/>
                <w:sz w:val="20"/>
              </w:rPr>
            </w:pPr>
            <w:r w:rsidRPr="00B7614E">
              <w:rPr>
                <w:rFonts w:ascii="Arial" w:hAnsi="Arial" w:cs="Arial"/>
                <w:color w:val="000000" w:themeColor="text1"/>
                <w:sz w:val="20"/>
              </w:rPr>
              <w:t>c</w:t>
            </w:r>
            <w:r w:rsidRPr="00800F84">
              <w:rPr>
                <w:rFonts w:ascii="Arial" w:hAnsi="Arial" w:cs="Arial"/>
                <w:sz w:val="20"/>
              </w:rPr>
              <w:t>. $</w:t>
            </w:r>
            <w:r w:rsidR="00B84F3A" w:rsidRPr="00800F84">
              <w:rPr>
                <w:rFonts w:ascii="Arial" w:hAnsi="Arial" w:cs="Arial"/>
                <w:sz w:val="20"/>
              </w:rPr>
              <w:t>116,919.60</w:t>
            </w:r>
            <w:r w:rsidRPr="00800F84">
              <w:rPr>
                <w:rFonts w:ascii="Arial" w:hAnsi="Arial" w:cs="Arial"/>
                <w:sz w:val="20"/>
              </w:rPr>
              <w:t xml:space="preserve"> </w:t>
            </w:r>
          </w:p>
          <w:p w14:paraId="0F082F28" w14:textId="77777777" w:rsidR="002040FB" w:rsidRPr="00B7614E" w:rsidRDefault="002040FB" w:rsidP="002040FB">
            <w:pPr>
              <w:rPr>
                <w:rFonts w:ascii="Arial" w:hAnsi="Arial" w:cs="Arial"/>
                <w:sz w:val="20"/>
              </w:rPr>
            </w:pPr>
          </w:p>
          <w:p w14:paraId="1EEB2058" w14:textId="6FA25C4F" w:rsidR="002040FB" w:rsidRPr="00B7614E" w:rsidRDefault="002040FB" w:rsidP="002040FB">
            <w:pPr>
              <w:rPr>
                <w:rFonts w:ascii="Arial" w:hAnsi="Arial" w:cs="Arial"/>
                <w:sz w:val="20"/>
              </w:rPr>
            </w:pPr>
            <w:r w:rsidRPr="00B7614E">
              <w:rPr>
                <w:rFonts w:ascii="Arial" w:hAnsi="Arial" w:cs="Arial"/>
                <w:sz w:val="20"/>
              </w:rPr>
              <w:t>d. Axon Advisors LLC operates as a Limited Liability Corporation.</w:t>
            </w:r>
          </w:p>
          <w:p w14:paraId="3D4485C5" w14:textId="77777777" w:rsidR="002040FB" w:rsidRPr="00B7614E" w:rsidRDefault="002040FB" w:rsidP="002040FB">
            <w:pPr>
              <w:rPr>
                <w:rFonts w:ascii="Arial" w:hAnsi="Arial" w:cs="Arial"/>
                <w:sz w:val="20"/>
              </w:rPr>
            </w:pPr>
          </w:p>
          <w:p w14:paraId="08CC9A15" w14:textId="5732C878" w:rsidR="002040FB" w:rsidRPr="00B7614E" w:rsidRDefault="002040FB" w:rsidP="002040FB">
            <w:pPr>
              <w:rPr>
                <w:rFonts w:ascii="Arial" w:hAnsi="Arial" w:cs="Arial"/>
                <w:sz w:val="20"/>
              </w:rPr>
            </w:pPr>
            <w:r w:rsidRPr="00B7614E">
              <w:rPr>
                <w:rFonts w:ascii="Arial" w:hAnsi="Arial" w:cs="Arial"/>
                <w:sz w:val="20"/>
              </w:rPr>
              <w:t xml:space="preserve">e. </w:t>
            </w:r>
            <w:r w:rsidR="00C2331C" w:rsidRPr="00C2331C">
              <w:rPr>
                <w:rFonts w:ascii="Arial" w:hAnsi="Arial" w:cs="Arial"/>
                <w:b/>
                <w:sz w:val="20"/>
              </w:rPr>
              <w:t>Attachment A1</w:t>
            </w:r>
            <w:r w:rsidRPr="00C2331C">
              <w:rPr>
                <w:rFonts w:ascii="Arial" w:hAnsi="Arial" w:cs="Arial"/>
                <w:sz w:val="20"/>
              </w:rPr>
              <w:t xml:space="preserve"> </w:t>
            </w:r>
            <w:r w:rsidRPr="00C2331C">
              <w:rPr>
                <w:rFonts w:ascii="Arial" w:hAnsi="Arial" w:cs="Arial"/>
                <w:b/>
                <w:sz w:val="20"/>
              </w:rPr>
              <w:t xml:space="preserve">– </w:t>
            </w:r>
            <w:proofErr w:type="spellStart"/>
            <w:r w:rsidRPr="00C2331C">
              <w:rPr>
                <w:rFonts w:ascii="Arial" w:hAnsi="Arial" w:cs="Arial"/>
                <w:b/>
                <w:sz w:val="20"/>
              </w:rPr>
              <w:t>IVOSB</w:t>
            </w:r>
            <w:proofErr w:type="spellEnd"/>
            <w:r w:rsidRPr="00C2331C">
              <w:rPr>
                <w:rFonts w:ascii="Arial" w:hAnsi="Arial" w:cs="Arial"/>
                <w:b/>
                <w:sz w:val="20"/>
              </w:rPr>
              <w:t xml:space="preserve"> Subcontractor Commitment Form &amp; Letter of Commitment</w:t>
            </w:r>
            <w:r w:rsidRPr="00C2331C">
              <w:rPr>
                <w:rFonts w:ascii="Arial" w:hAnsi="Arial" w:cs="Arial"/>
                <w:sz w:val="20"/>
              </w:rPr>
              <w:t xml:space="preserve"> and </w:t>
            </w:r>
            <w:r w:rsidR="00C2331C" w:rsidRPr="00C2331C">
              <w:rPr>
                <w:rFonts w:ascii="Arial" w:hAnsi="Arial" w:cs="Arial"/>
                <w:b/>
                <w:sz w:val="20"/>
              </w:rPr>
              <w:t>Attachment 11</w:t>
            </w:r>
            <w:r w:rsidRPr="00C2331C">
              <w:rPr>
                <w:rFonts w:ascii="Arial" w:hAnsi="Arial" w:cs="Arial"/>
                <w:b/>
                <w:sz w:val="20"/>
              </w:rPr>
              <w:t xml:space="preserve"> – </w:t>
            </w:r>
            <w:r w:rsidRPr="00B7614E">
              <w:rPr>
                <w:rFonts w:ascii="Arial" w:hAnsi="Arial" w:cs="Arial"/>
                <w:b/>
                <w:sz w:val="20"/>
              </w:rPr>
              <w:t>Milliman Teaming Agreement</w:t>
            </w:r>
            <w:r w:rsidRPr="00B7614E">
              <w:rPr>
                <w:rFonts w:ascii="Arial" w:hAnsi="Arial" w:cs="Arial"/>
                <w:sz w:val="20"/>
              </w:rPr>
              <w:t xml:space="preserve"> show a strong indication from Axon Advisors LLC of a willingness to carry out their responsibilities as a subcontractor for this project</w:t>
            </w:r>
          </w:p>
          <w:p w14:paraId="2468931D" w14:textId="77777777" w:rsidR="002040FB" w:rsidRPr="00B7614E" w:rsidRDefault="002040FB" w:rsidP="002040FB">
            <w:pPr>
              <w:rPr>
                <w:rFonts w:ascii="Arial" w:hAnsi="Arial" w:cs="Arial"/>
                <w:sz w:val="20"/>
              </w:rPr>
            </w:pPr>
          </w:p>
          <w:p w14:paraId="5AA39848" w14:textId="042A6C8C" w:rsidR="002040FB" w:rsidRPr="00B7614E" w:rsidRDefault="002040FB" w:rsidP="002040FB">
            <w:pPr>
              <w:rPr>
                <w:rFonts w:ascii="Arial" w:hAnsi="Arial" w:cs="Arial"/>
                <w:sz w:val="20"/>
              </w:rPr>
            </w:pPr>
            <w:r w:rsidRPr="00B7614E">
              <w:rPr>
                <w:rFonts w:ascii="Arial" w:hAnsi="Arial" w:cs="Arial"/>
                <w:sz w:val="20"/>
              </w:rPr>
              <w:t xml:space="preserve">f. Axon Advisors LLC qualifies as an Indiana Veteran Owned Small Business; see </w:t>
            </w:r>
            <w:r w:rsidR="00C2331C" w:rsidRPr="00C2331C">
              <w:rPr>
                <w:rFonts w:ascii="Arial" w:hAnsi="Arial" w:cs="Arial"/>
                <w:b/>
                <w:bCs/>
                <w:sz w:val="20"/>
              </w:rPr>
              <w:t>Attachment 9</w:t>
            </w:r>
            <w:r w:rsidRPr="00B7614E">
              <w:rPr>
                <w:rFonts w:ascii="Arial" w:hAnsi="Arial" w:cs="Arial"/>
                <w:color w:val="FF0000"/>
                <w:sz w:val="20"/>
              </w:rPr>
              <w:t xml:space="preserve"> </w:t>
            </w:r>
            <w:r w:rsidRPr="00B7614E">
              <w:rPr>
                <w:rFonts w:ascii="Arial" w:hAnsi="Arial" w:cs="Arial"/>
                <w:sz w:val="20"/>
              </w:rPr>
              <w:t xml:space="preserve">for </w:t>
            </w:r>
            <w:r w:rsidR="00C2331C">
              <w:rPr>
                <w:rFonts w:ascii="Arial" w:hAnsi="Arial" w:cs="Arial"/>
                <w:sz w:val="20"/>
              </w:rPr>
              <w:t xml:space="preserve">the </w:t>
            </w:r>
            <w:r w:rsidRPr="00B7614E">
              <w:rPr>
                <w:rFonts w:ascii="Arial" w:hAnsi="Arial" w:cs="Arial"/>
                <w:sz w:val="20"/>
              </w:rPr>
              <w:t xml:space="preserve">Certification Letter.  </w:t>
            </w:r>
          </w:p>
        </w:tc>
        <w:tc>
          <w:tcPr>
            <w:tcW w:w="1732" w:type="pct"/>
            <w:shd w:val="clear" w:color="auto" w:fill="FFFF99"/>
          </w:tcPr>
          <w:p w14:paraId="742F77A4" w14:textId="77777777" w:rsidR="002040FB" w:rsidRPr="00B7614E" w:rsidRDefault="002040FB" w:rsidP="002040FB">
            <w:pPr>
              <w:rPr>
                <w:rFonts w:ascii="Arial" w:hAnsi="Arial" w:cs="Arial"/>
                <w:sz w:val="20"/>
              </w:rPr>
            </w:pPr>
            <w:r w:rsidRPr="00B7614E">
              <w:rPr>
                <w:rFonts w:ascii="Arial" w:hAnsi="Arial" w:cs="Arial"/>
                <w:sz w:val="20"/>
              </w:rPr>
              <w:t xml:space="preserve">a. </w:t>
            </w:r>
            <w:r w:rsidRPr="00B7614E">
              <w:rPr>
                <w:rFonts w:ascii="Arial" w:hAnsi="Arial" w:cs="Arial"/>
                <w:b/>
                <w:sz w:val="20"/>
              </w:rPr>
              <w:t>Lawrance Policy Consulting LLC</w:t>
            </w:r>
            <w:r w:rsidRPr="00B7614E">
              <w:rPr>
                <w:rFonts w:ascii="Arial" w:hAnsi="Arial" w:cs="Arial"/>
                <w:sz w:val="20"/>
              </w:rPr>
              <w:t xml:space="preserve">, 14575 Sherwood Forest Way, Fishers, IN 46307, </w:t>
            </w:r>
          </w:p>
          <w:p w14:paraId="5C0DC32A" w14:textId="77777777" w:rsidR="002040FB" w:rsidRPr="00B7614E" w:rsidRDefault="002040FB" w:rsidP="002040FB">
            <w:pPr>
              <w:rPr>
                <w:rFonts w:ascii="Arial" w:hAnsi="Arial" w:cs="Arial"/>
                <w:sz w:val="20"/>
              </w:rPr>
            </w:pPr>
            <w:r w:rsidRPr="00B7614E">
              <w:rPr>
                <w:rFonts w:ascii="Arial" w:hAnsi="Arial" w:cs="Arial"/>
                <w:sz w:val="20"/>
              </w:rPr>
              <w:t>incorporated in the state of Indiana.</w:t>
            </w:r>
          </w:p>
          <w:p w14:paraId="17051460" w14:textId="77777777" w:rsidR="002040FB" w:rsidRPr="00B7614E" w:rsidRDefault="002040FB" w:rsidP="002040FB">
            <w:pPr>
              <w:rPr>
                <w:rFonts w:ascii="Arial" w:hAnsi="Arial" w:cs="Arial"/>
                <w:sz w:val="20"/>
              </w:rPr>
            </w:pPr>
            <w:r w:rsidRPr="00B7614E">
              <w:rPr>
                <w:rFonts w:ascii="Arial" w:hAnsi="Arial" w:cs="Arial"/>
                <w:sz w:val="20"/>
              </w:rPr>
              <w:t xml:space="preserve"> </w:t>
            </w:r>
          </w:p>
          <w:p w14:paraId="48B21E98" w14:textId="0C9DE2E2" w:rsidR="00023D35" w:rsidRPr="00B7614E" w:rsidRDefault="002040FB" w:rsidP="00023D35">
            <w:pPr>
              <w:rPr>
                <w:rFonts w:ascii="Arial" w:hAnsi="Arial" w:cs="Arial"/>
                <w:color w:val="000000" w:themeColor="text1"/>
                <w:sz w:val="20"/>
              </w:rPr>
            </w:pPr>
            <w:r w:rsidRPr="00B7614E">
              <w:rPr>
                <w:rFonts w:ascii="Arial" w:hAnsi="Arial" w:cs="Arial"/>
                <w:color w:val="000000" w:themeColor="text1"/>
                <w:sz w:val="20"/>
              </w:rPr>
              <w:t xml:space="preserve">b. Lawrance Policy Consulting will support Milliman on </w:t>
            </w:r>
            <w:r w:rsidR="003C5A48" w:rsidRPr="00B7614E">
              <w:rPr>
                <w:rFonts w:ascii="Arial" w:hAnsi="Arial" w:cs="Arial"/>
                <w:color w:val="000000" w:themeColor="text1"/>
                <w:sz w:val="20"/>
              </w:rPr>
              <w:t>this RFP in the following ways:</w:t>
            </w:r>
          </w:p>
          <w:p w14:paraId="38AC47B0" w14:textId="77777777" w:rsidR="00023D35" w:rsidRPr="00B7614E" w:rsidRDefault="00023D35" w:rsidP="00023D35">
            <w:pPr>
              <w:rPr>
                <w:rFonts w:ascii="Arial" w:hAnsi="Arial" w:cs="Arial"/>
                <w:color w:val="000000" w:themeColor="text1"/>
                <w:sz w:val="20"/>
              </w:rPr>
            </w:pPr>
          </w:p>
          <w:p w14:paraId="62D43527" w14:textId="32580661" w:rsidR="00023D35" w:rsidRPr="00B7614E" w:rsidRDefault="00023D35" w:rsidP="00023D35">
            <w:pPr>
              <w:rPr>
                <w:rFonts w:ascii="Arial" w:hAnsi="Arial" w:cs="Arial"/>
                <w:sz w:val="20"/>
              </w:rPr>
            </w:pPr>
            <w:r w:rsidRPr="00B7614E">
              <w:rPr>
                <w:rFonts w:ascii="Arial" w:hAnsi="Arial" w:cs="Arial"/>
                <w:sz w:val="20"/>
              </w:rPr>
              <w:t>• Stakeholder engagement</w:t>
            </w:r>
          </w:p>
          <w:p w14:paraId="0207F915" w14:textId="7FDB397B" w:rsidR="00023D35" w:rsidRPr="00B7614E" w:rsidRDefault="00023D35" w:rsidP="00023D35">
            <w:pPr>
              <w:rPr>
                <w:rFonts w:ascii="Arial" w:hAnsi="Arial" w:cs="Arial"/>
                <w:sz w:val="20"/>
              </w:rPr>
            </w:pPr>
            <w:r w:rsidRPr="00B7614E">
              <w:rPr>
                <w:rFonts w:ascii="Arial" w:hAnsi="Arial" w:cs="Arial"/>
                <w:sz w:val="20"/>
              </w:rPr>
              <w:t>• Development of stakeholder outreach and engagement plan</w:t>
            </w:r>
          </w:p>
          <w:p w14:paraId="3BA1F614" w14:textId="6264D5BF" w:rsidR="002040FB" w:rsidRPr="00B7614E" w:rsidRDefault="00023D35" w:rsidP="00023D35">
            <w:pPr>
              <w:rPr>
                <w:rFonts w:ascii="Arial" w:hAnsi="Arial" w:cs="Arial"/>
                <w:sz w:val="20"/>
              </w:rPr>
            </w:pPr>
            <w:r w:rsidRPr="00B7614E">
              <w:rPr>
                <w:rFonts w:ascii="Arial" w:hAnsi="Arial" w:cs="Arial"/>
                <w:sz w:val="20"/>
              </w:rPr>
              <w:t>• Lead, conduct interviews, meetings, and focus groups with the spectrum of stakeholders and invested interests</w:t>
            </w:r>
          </w:p>
          <w:p w14:paraId="4007038B" w14:textId="77777777" w:rsidR="00023D35" w:rsidRPr="00B7614E" w:rsidRDefault="00023D35" w:rsidP="00023D35">
            <w:pPr>
              <w:rPr>
                <w:rFonts w:ascii="Arial" w:hAnsi="Arial" w:cs="Arial"/>
                <w:sz w:val="20"/>
              </w:rPr>
            </w:pPr>
          </w:p>
          <w:p w14:paraId="4F6A31C9" w14:textId="2015BA57" w:rsidR="002040FB" w:rsidRPr="00B7614E" w:rsidRDefault="002040FB" w:rsidP="002040FB">
            <w:pPr>
              <w:rPr>
                <w:rFonts w:ascii="Arial" w:hAnsi="Arial" w:cs="Arial"/>
                <w:color w:val="000000" w:themeColor="text1"/>
                <w:sz w:val="20"/>
              </w:rPr>
            </w:pPr>
            <w:r w:rsidRPr="00B7614E">
              <w:rPr>
                <w:rFonts w:ascii="Arial" w:hAnsi="Arial" w:cs="Arial"/>
                <w:color w:val="000000" w:themeColor="text1"/>
                <w:sz w:val="20"/>
              </w:rPr>
              <w:t>c</w:t>
            </w:r>
            <w:r w:rsidRPr="00800F84">
              <w:rPr>
                <w:rFonts w:ascii="Arial" w:hAnsi="Arial" w:cs="Arial"/>
                <w:sz w:val="20"/>
              </w:rPr>
              <w:t xml:space="preserve">. </w:t>
            </w:r>
            <w:r w:rsidR="00130E30" w:rsidRPr="00800F84">
              <w:rPr>
                <w:rFonts w:ascii="Arial" w:hAnsi="Arial" w:cs="Arial"/>
                <w:sz w:val="20"/>
              </w:rPr>
              <w:t>$</w:t>
            </w:r>
            <w:r w:rsidR="00B84F3A" w:rsidRPr="00800F84">
              <w:rPr>
                <w:rFonts w:ascii="Arial" w:hAnsi="Arial" w:cs="Arial"/>
                <w:sz w:val="20"/>
              </w:rPr>
              <w:t>72,000.60</w:t>
            </w:r>
          </w:p>
          <w:p w14:paraId="3804C1AA" w14:textId="77777777" w:rsidR="002040FB" w:rsidRPr="00B7614E" w:rsidRDefault="002040FB" w:rsidP="002040FB">
            <w:pPr>
              <w:rPr>
                <w:rFonts w:ascii="Arial" w:hAnsi="Arial" w:cs="Arial"/>
                <w:sz w:val="20"/>
              </w:rPr>
            </w:pPr>
          </w:p>
          <w:p w14:paraId="298661D6" w14:textId="77777777" w:rsidR="002040FB" w:rsidRPr="00B7614E" w:rsidRDefault="002040FB" w:rsidP="002040FB">
            <w:pPr>
              <w:rPr>
                <w:rFonts w:ascii="Arial" w:hAnsi="Arial" w:cs="Arial"/>
                <w:sz w:val="20"/>
              </w:rPr>
            </w:pPr>
            <w:r w:rsidRPr="00B7614E">
              <w:rPr>
                <w:rFonts w:ascii="Arial" w:hAnsi="Arial" w:cs="Arial"/>
                <w:sz w:val="20"/>
              </w:rPr>
              <w:t>d. Lawrance Policy Consulting LLC operates as a Limited Liability Corporation.</w:t>
            </w:r>
          </w:p>
          <w:p w14:paraId="236428BC" w14:textId="77777777" w:rsidR="002040FB" w:rsidRPr="00B7614E" w:rsidRDefault="002040FB" w:rsidP="002040FB">
            <w:pPr>
              <w:rPr>
                <w:rFonts w:ascii="Arial" w:hAnsi="Arial" w:cs="Arial"/>
                <w:sz w:val="20"/>
              </w:rPr>
            </w:pPr>
          </w:p>
          <w:p w14:paraId="547B6D8B" w14:textId="5241921D" w:rsidR="002040FB" w:rsidRPr="00B7614E" w:rsidRDefault="002040FB" w:rsidP="002040FB">
            <w:pPr>
              <w:rPr>
                <w:rFonts w:ascii="Arial" w:hAnsi="Arial" w:cs="Arial"/>
                <w:sz w:val="20"/>
              </w:rPr>
            </w:pPr>
            <w:r w:rsidRPr="00B7614E">
              <w:rPr>
                <w:rFonts w:ascii="Arial" w:hAnsi="Arial" w:cs="Arial"/>
                <w:sz w:val="20"/>
              </w:rPr>
              <w:t xml:space="preserve">e. </w:t>
            </w:r>
            <w:r w:rsidR="00C2331C" w:rsidRPr="00C2331C">
              <w:rPr>
                <w:rFonts w:ascii="Arial" w:hAnsi="Arial" w:cs="Arial"/>
                <w:b/>
                <w:sz w:val="20"/>
              </w:rPr>
              <w:t>Attachment A</w:t>
            </w:r>
            <w:r w:rsidR="00C2331C">
              <w:rPr>
                <w:rFonts w:ascii="Arial" w:hAnsi="Arial" w:cs="Arial"/>
                <w:b/>
                <w:sz w:val="20"/>
              </w:rPr>
              <w:t xml:space="preserve"> </w:t>
            </w:r>
            <w:r w:rsidRPr="00B7614E">
              <w:rPr>
                <w:rFonts w:ascii="Arial" w:hAnsi="Arial" w:cs="Arial"/>
                <w:b/>
                <w:sz w:val="20"/>
              </w:rPr>
              <w:t>– MBE/</w:t>
            </w:r>
            <w:proofErr w:type="spellStart"/>
            <w:r w:rsidRPr="00B7614E">
              <w:rPr>
                <w:rFonts w:ascii="Arial" w:hAnsi="Arial" w:cs="Arial"/>
                <w:b/>
                <w:sz w:val="20"/>
              </w:rPr>
              <w:t>WBE</w:t>
            </w:r>
            <w:proofErr w:type="spellEnd"/>
            <w:r w:rsidRPr="00B7614E">
              <w:rPr>
                <w:rFonts w:ascii="Arial" w:hAnsi="Arial" w:cs="Arial"/>
                <w:b/>
                <w:sz w:val="20"/>
              </w:rPr>
              <w:t xml:space="preserve"> Subcontractor Commitment Form &amp; Letter of Commitment</w:t>
            </w:r>
            <w:r w:rsidRPr="00B7614E">
              <w:rPr>
                <w:rFonts w:ascii="Arial" w:hAnsi="Arial" w:cs="Arial"/>
                <w:sz w:val="20"/>
              </w:rPr>
              <w:t xml:space="preserve"> and </w:t>
            </w:r>
            <w:r w:rsidR="00C2331C" w:rsidRPr="00C2331C">
              <w:rPr>
                <w:rFonts w:ascii="Arial" w:hAnsi="Arial" w:cs="Arial"/>
                <w:b/>
                <w:sz w:val="20"/>
              </w:rPr>
              <w:t xml:space="preserve">Attachment 11 </w:t>
            </w:r>
            <w:r w:rsidRPr="00B7614E">
              <w:rPr>
                <w:rFonts w:ascii="Arial" w:hAnsi="Arial" w:cs="Arial"/>
                <w:b/>
                <w:sz w:val="20"/>
              </w:rPr>
              <w:t>– Milliman Teaming Agreement</w:t>
            </w:r>
            <w:r w:rsidRPr="00B7614E">
              <w:rPr>
                <w:rFonts w:ascii="Arial" w:hAnsi="Arial" w:cs="Arial"/>
                <w:sz w:val="20"/>
              </w:rPr>
              <w:t xml:space="preserve"> show a strong indication from Lawrance Policy Consulting LLC of a willingness to carry out their responsibilities as a subcontractor for this project.</w:t>
            </w:r>
          </w:p>
          <w:p w14:paraId="1E263EA5" w14:textId="77777777" w:rsidR="002040FB" w:rsidRPr="00B7614E" w:rsidRDefault="002040FB" w:rsidP="002040FB">
            <w:pPr>
              <w:rPr>
                <w:rFonts w:ascii="Arial" w:hAnsi="Arial" w:cs="Arial"/>
                <w:sz w:val="20"/>
              </w:rPr>
            </w:pPr>
          </w:p>
          <w:p w14:paraId="5115EAD5" w14:textId="67949DB5" w:rsidR="002040FB" w:rsidRPr="00B7614E" w:rsidRDefault="002040FB" w:rsidP="002040FB">
            <w:pPr>
              <w:rPr>
                <w:rFonts w:ascii="Arial" w:hAnsi="Arial" w:cs="Arial"/>
                <w:sz w:val="20"/>
              </w:rPr>
            </w:pPr>
            <w:r w:rsidRPr="00B7614E">
              <w:rPr>
                <w:rFonts w:ascii="Arial" w:hAnsi="Arial" w:cs="Arial"/>
                <w:sz w:val="20"/>
              </w:rPr>
              <w:t xml:space="preserve">f. Lawrance Policy Consulting LLC qualifies as a Women Owned Business; see </w:t>
            </w:r>
            <w:r w:rsidR="00C2331C" w:rsidRPr="00C2331C">
              <w:rPr>
                <w:rFonts w:ascii="Arial" w:hAnsi="Arial" w:cs="Arial"/>
                <w:b/>
                <w:bCs/>
                <w:sz w:val="20"/>
              </w:rPr>
              <w:t>Attachment 9</w:t>
            </w:r>
            <w:r w:rsidR="00C2331C" w:rsidRPr="00B7614E">
              <w:rPr>
                <w:rFonts w:ascii="Arial" w:hAnsi="Arial" w:cs="Arial"/>
                <w:color w:val="FF0000"/>
                <w:sz w:val="20"/>
              </w:rPr>
              <w:t xml:space="preserve"> </w:t>
            </w:r>
            <w:r w:rsidRPr="00B7614E">
              <w:rPr>
                <w:rFonts w:ascii="Arial" w:hAnsi="Arial" w:cs="Arial"/>
                <w:sz w:val="20"/>
              </w:rPr>
              <w:t xml:space="preserve">for </w:t>
            </w:r>
            <w:r w:rsidR="00C2331C">
              <w:rPr>
                <w:rFonts w:ascii="Arial" w:hAnsi="Arial" w:cs="Arial"/>
                <w:sz w:val="20"/>
              </w:rPr>
              <w:t xml:space="preserve">the </w:t>
            </w:r>
            <w:r w:rsidRPr="00B7614E">
              <w:rPr>
                <w:rFonts w:ascii="Arial" w:hAnsi="Arial" w:cs="Arial"/>
                <w:sz w:val="20"/>
              </w:rPr>
              <w:t>Certification Letter.</w:t>
            </w:r>
          </w:p>
        </w:tc>
        <w:tc>
          <w:tcPr>
            <w:tcW w:w="1684" w:type="pct"/>
            <w:shd w:val="clear" w:color="auto" w:fill="FFFF99"/>
          </w:tcPr>
          <w:p w14:paraId="49268F1B" w14:textId="507198D7" w:rsidR="002040FB" w:rsidRPr="00B7614E" w:rsidRDefault="002040FB" w:rsidP="002040FB">
            <w:pPr>
              <w:rPr>
                <w:rFonts w:ascii="Arial" w:hAnsi="Arial" w:cs="Arial"/>
                <w:sz w:val="20"/>
              </w:rPr>
            </w:pPr>
            <w:r w:rsidRPr="00B7614E">
              <w:rPr>
                <w:rFonts w:ascii="Arial" w:hAnsi="Arial" w:cs="Arial"/>
                <w:sz w:val="20"/>
              </w:rPr>
              <w:t xml:space="preserve">a. </w:t>
            </w:r>
            <w:r w:rsidR="00A53398" w:rsidRPr="00B7614E">
              <w:rPr>
                <w:rFonts w:ascii="Arial" w:hAnsi="Arial" w:cs="Arial"/>
                <w:b/>
                <w:sz w:val="20"/>
              </w:rPr>
              <w:t>Mangas Global Solutions, Inc.,</w:t>
            </w:r>
            <w:r w:rsidRPr="00B7614E">
              <w:rPr>
                <w:rFonts w:ascii="Arial" w:hAnsi="Arial" w:cs="Arial"/>
                <w:sz w:val="20"/>
              </w:rPr>
              <w:t xml:space="preserve"> </w:t>
            </w:r>
            <w:r w:rsidR="00F65B34" w:rsidRPr="00B7614E">
              <w:rPr>
                <w:rFonts w:ascii="Arial" w:hAnsi="Arial" w:cs="Arial"/>
                <w:sz w:val="20"/>
              </w:rPr>
              <w:t>8800 North St., Fishers, IN</w:t>
            </w:r>
            <w:r w:rsidR="0003501A" w:rsidRPr="00B7614E">
              <w:rPr>
                <w:rFonts w:ascii="Arial" w:hAnsi="Arial" w:cs="Arial"/>
                <w:sz w:val="20"/>
              </w:rPr>
              <w:t xml:space="preserve"> 46038</w:t>
            </w:r>
            <w:r w:rsidRPr="00B7614E">
              <w:rPr>
                <w:rFonts w:ascii="Arial" w:hAnsi="Arial" w:cs="Arial"/>
                <w:sz w:val="20"/>
              </w:rPr>
              <w:t>,</w:t>
            </w:r>
          </w:p>
          <w:p w14:paraId="09CCCDBB" w14:textId="3F5A45A9" w:rsidR="002040FB" w:rsidRPr="00B7614E" w:rsidRDefault="002040FB" w:rsidP="002040FB">
            <w:pPr>
              <w:rPr>
                <w:rFonts w:ascii="Arial" w:hAnsi="Arial" w:cs="Arial"/>
                <w:sz w:val="20"/>
              </w:rPr>
            </w:pPr>
            <w:r w:rsidRPr="00B7614E">
              <w:rPr>
                <w:rFonts w:ascii="Arial" w:hAnsi="Arial" w:cs="Arial"/>
                <w:sz w:val="20"/>
              </w:rPr>
              <w:t>incorporated in the state of Indiana.</w:t>
            </w:r>
          </w:p>
          <w:p w14:paraId="6E60446C" w14:textId="77777777" w:rsidR="00421ACA" w:rsidRPr="00B7614E" w:rsidRDefault="00421ACA" w:rsidP="002040FB">
            <w:pPr>
              <w:rPr>
                <w:rFonts w:ascii="Arial" w:hAnsi="Arial" w:cs="Arial"/>
                <w:sz w:val="20"/>
              </w:rPr>
            </w:pPr>
          </w:p>
          <w:p w14:paraId="03856ED1" w14:textId="4A20048A" w:rsidR="003C5A48" w:rsidRPr="00B7614E" w:rsidRDefault="002040FB" w:rsidP="003C5A48">
            <w:pPr>
              <w:rPr>
                <w:rFonts w:ascii="Arial" w:hAnsi="Arial" w:cs="Arial"/>
                <w:sz w:val="20"/>
              </w:rPr>
            </w:pPr>
            <w:r w:rsidRPr="00B7614E">
              <w:rPr>
                <w:rFonts w:ascii="Arial" w:hAnsi="Arial" w:cs="Arial"/>
                <w:sz w:val="20"/>
              </w:rPr>
              <w:t xml:space="preserve">b. </w:t>
            </w:r>
            <w:r w:rsidR="00A53398" w:rsidRPr="00B7614E">
              <w:rPr>
                <w:rFonts w:ascii="Arial" w:hAnsi="Arial" w:cs="Arial"/>
                <w:sz w:val="20"/>
              </w:rPr>
              <w:t>Mangas Global Solutions</w:t>
            </w:r>
            <w:r w:rsidRPr="00B7614E">
              <w:rPr>
                <w:rFonts w:ascii="Arial" w:hAnsi="Arial" w:cs="Arial"/>
                <w:sz w:val="20"/>
              </w:rPr>
              <w:t xml:space="preserve"> </w:t>
            </w:r>
            <w:r w:rsidRPr="00B7614E">
              <w:rPr>
                <w:rFonts w:ascii="Arial" w:hAnsi="Arial" w:cs="Arial"/>
                <w:color w:val="000000" w:themeColor="text1"/>
                <w:sz w:val="20"/>
              </w:rPr>
              <w:t xml:space="preserve">will support Milliman on </w:t>
            </w:r>
            <w:r w:rsidR="003C5A48" w:rsidRPr="00B7614E">
              <w:rPr>
                <w:rFonts w:ascii="Arial" w:hAnsi="Arial" w:cs="Arial"/>
                <w:color w:val="000000" w:themeColor="text1"/>
                <w:sz w:val="20"/>
              </w:rPr>
              <w:t>this RFP in the following ways:</w:t>
            </w:r>
          </w:p>
          <w:p w14:paraId="58E30655" w14:textId="77777777" w:rsidR="003C5A48" w:rsidRPr="00B7614E" w:rsidRDefault="003C5A48" w:rsidP="003C5A48">
            <w:pPr>
              <w:rPr>
                <w:rFonts w:ascii="Arial" w:hAnsi="Arial" w:cs="Arial"/>
                <w:sz w:val="20"/>
              </w:rPr>
            </w:pPr>
          </w:p>
          <w:p w14:paraId="5B6F6BDD" w14:textId="30F8EE84" w:rsidR="003C5A48" w:rsidRPr="00B7614E" w:rsidRDefault="003C5A48" w:rsidP="003C5A48">
            <w:pPr>
              <w:rPr>
                <w:rFonts w:ascii="Arial" w:hAnsi="Arial" w:cs="Arial"/>
                <w:sz w:val="20"/>
              </w:rPr>
            </w:pPr>
            <w:r w:rsidRPr="00B7614E">
              <w:rPr>
                <w:rFonts w:ascii="Arial" w:hAnsi="Arial" w:cs="Arial"/>
                <w:sz w:val="20"/>
              </w:rPr>
              <w:t>• Project management and administrative support</w:t>
            </w:r>
          </w:p>
          <w:p w14:paraId="5C89D819" w14:textId="3C130C11" w:rsidR="003C5A48" w:rsidRPr="00B7614E" w:rsidRDefault="003C5A48" w:rsidP="003C5A48">
            <w:pPr>
              <w:rPr>
                <w:rFonts w:ascii="Arial" w:hAnsi="Arial" w:cs="Arial"/>
                <w:sz w:val="20"/>
              </w:rPr>
            </w:pPr>
            <w:r w:rsidRPr="00B7614E">
              <w:rPr>
                <w:rFonts w:ascii="Arial" w:hAnsi="Arial" w:cs="Arial"/>
                <w:sz w:val="20"/>
              </w:rPr>
              <w:t xml:space="preserve">• Development of comprehensive project management plan </w:t>
            </w:r>
          </w:p>
          <w:p w14:paraId="5D1C10F6" w14:textId="67BC6392" w:rsidR="002040FB" w:rsidRPr="00B7614E" w:rsidRDefault="003C5A48" w:rsidP="003C5A48">
            <w:pPr>
              <w:rPr>
                <w:rFonts w:ascii="Arial" w:hAnsi="Arial" w:cs="Arial"/>
                <w:sz w:val="20"/>
              </w:rPr>
            </w:pPr>
            <w:r w:rsidRPr="00B7614E">
              <w:rPr>
                <w:rFonts w:ascii="Arial" w:hAnsi="Arial" w:cs="Arial"/>
                <w:sz w:val="20"/>
              </w:rPr>
              <w:t>• Tracking progress of plan, identifying potential project risks, and ensuring timely deliverables</w:t>
            </w:r>
          </w:p>
          <w:p w14:paraId="18C39286" w14:textId="77777777" w:rsidR="002040FB" w:rsidRPr="00B7614E" w:rsidRDefault="002040FB" w:rsidP="002040FB">
            <w:pPr>
              <w:rPr>
                <w:rFonts w:ascii="Arial" w:hAnsi="Arial" w:cs="Arial"/>
                <w:sz w:val="20"/>
              </w:rPr>
            </w:pPr>
          </w:p>
          <w:p w14:paraId="21D8DA66" w14:textId="495AED96" w:rsidR="002040FB" w:rsidRPr="00B7614E" w:rsidRDefault="002040FB" w:rsidP="002040FB">
            <w:pPr>
              <w:rPr>
                <w:rFonts w:ascii="Arial" w:hAnsi="Arial" w:cs="Arial"/>
                <w:sz w:val="20"/>
              </w:rPr>
            </w:pPr>
            <w:r w:rsidRPr="00B7614E">
              <w:rPr>
                <w:rFonts w:ascii="Arial" w:hAnsi="Arial" w:cs="Arial"/>
                <w:sz w:val="20"/>
              </w:rPr>
              <w:t xml:space="preserve">c. </w:t>
            </w:r>
            <w:r w:rsidR="00130E30" w:rsidRPr="00800F84">
              <w:rPr>
                <w:rFonts w:ascii="Arial" w:hAnsi="Arial" w:cs="Arial"/>
                <w:sz w:val="20"/>
              </w:rPr>
              <w:t>$</w:t>
            </w:r>
            <w:r w:rsidR="008D3F6D" w:rsidRPr="00800F84">
              <w:rPr>
                <w:rFonts w:ascii="Arial" w:hAnsi="Arial" w:cs="Arial"/>
                <w:sz w:val="20"/>
              </w:rPr>
              <w:t>31,508.40</w:t>
            </w:r>
          </w:p>
          <w:p w14:paraId="173F4BFB" w14:textId="77777777" w:rsidR="002040FB" w:rsidRPr="00B7614E" w:rsidRDefault="002040FB" w:rsidP="002040FB">
            <w:pPr>
              <w:rPr>
                <w:rFonts w:ascii="Arial" w:hAnsi="Arial" w:cs="Arial"/>
                <w:sz w:val="20"/>
              </w:rPr>
            </w:pPr>
          </w:p>
          <w:p w14:paraId="72529640" w14:textId="293E36D8" w:rsidR="002040FB" w:rsidRPr="00B7614E" w:rsidRDefault="002040FB" w:rsidP="002040FB">
            <w:pPr>
              <w:rPr>
                <w:rFonts w:ascii="Arial" w:hAnsi="Arial" w:cs="Arial"/>
                <w:sz w:val="20"/>
              </w:rPr>
            </w:pPr>
            <w:r w:rsidRPr="00B7614E">
              <w:rPr>
                <w:rFonts w:ascii="Arial" w:hAnsi="Arial" w:cs="Arial"/>
                <w:sz w:val="20"/>
              </w:rPr>
              <w:t xml:space="preserve">d. </w:t>
            </w:r>
            <w:r w:rsidR="00AA4786" w:rsidRPr="00B7614E">
              <w:rPr>
                <w:rFonts w:ascii="Arial" w:hAnsi="Arial" w:cs="Arial"/>
                <w:sz w:val="20"/>
              </w:rPr>
              <w:t>Mangas Global Solutions, Inc.,</w:t>
            </w:r>
            <w:r w:rsidRPr="00B7614E">
              <w:rPr>
                <w:rFonts w:ascii="Arial" w:hAnsi="Arial" w:cs="Arial"/>
                <w:sz w:val="20"/>
              </w:rPr>
              <w:t xml:space="preserve"> operates as a</w:t>
            </w:r>
            <w:r w:rsidR="006C5803" w:rsidRPr="00B7614E">
              <w:rPr>
                <w:rFonts w:ascii="Arial" w:hAnsi="Arial" w:cs="Arial"/>
                <w:sz w:val="20"/>
              </w:rPr>
              <w:t>n S C</w:t>
            </w:r>
            <w:r w:rsidR="00130E30" w:rsidRPr="00B7614E">
              <w:rPr>
                <w:rFonts w:ascii="Arial" w:hAnsi="Arial" w:cs="Arial"/>
                <w:sz w:val="20"/>
              </w:rPr>
              <w:t>orporation</w:t>
            </w:r>
            <w:r w:rsidR="00517DDF" w:rsidRPr="00B7614E">
              <w:rPr>
                <w:rFonts w:ascii="Arial" w:hAnsi="Arial" w:cs="Arial"/>
                <w:sz w:val="20"/>
              </w:rPr>
              <w:t>.</w:t>
            </w:r>
          </w:p>
          <w:p w14:paraId="655B0CAF" w14:textId="77777777" w:rsidR="002040FB" w:rsidRPr="00B7614E" w:rsidRDefault="002040FB" w:rsidP="002040FB">
            <w:pPr>
              <w:rPr>
                <w:rFonts w:ascii="Arial" w:hAnsi="Arial" w:cs="Arial"/>
                <w:sz w:val="20"/>
              </w:rPr>
            </w:pPr>
          </w:p>
          <w:p w14:paraId="71028417" w14:textId="388F394E" w:rsidR="002040FB" w:rsidRPr="00B7614E" w:rsidRDefault="002040FB" w:rsidP="002040FB">
            <w:pPr>
              <w:rPr>
                <w:rFonts w:ascii="Arial" w:hAnsi="Arial" w:cs="Arial"/>
                <w:sz w:val="20"/>
              </w:rPr>
            </w:pPr>
            <w:r w:rsidRPr="00B7614E">
              <w:rPr>
                <w:rFonts w:ascii="Arial" w:hAnsi="Arial" w:cs="Arial"/>
                <w:sz w:val="20"/>
              </w:rPr>
              <w:t xml:space="preserve">e. </w:t>
            </w:r>
            <w:r w:rsidR="00C2331C" w:rsidRPr="00C2331C">
              <w:rPr>
                <w:rFonts w:ascii="Arial" w:hAnsi="Arial" w:cs="Arial"/>
                <w:b/>
                <w:sz w:val="20"/>
              </w:rPr>
              <w:t>Attachment A</w:t>
            </w:r>
            <w:r w:rsidR="00C2331C">
              <w:rPr>
                <w:rFonts w:ascii="Arial" w:hAnsi="Arial" w:cs="Arial"/>
                <w:b/>
                <w:sz w:val="20"/>
              </w:rPr>
              <w:t xml:space="preserve"> </w:t>
            </w:r>
            <w:r w:rsidRPr="00B7614E">
              <w:rPr>
                <w:rFonts w:ascii="Arial" w:hAnsi="Arial" w:cs="Arial"/>
                <w:b/>
                <w:sz w:val="20"/>
              </w:rPr>
              <w:t>– MBE/</w:t>
            </w:r>
            <w:proofErr w:type="spellStart"/>
            <w:r w:rsidRPr="00B7614E">
              <w:rPr>
                <w:rFonts w:ascii="Arial" w:hAnsi="Arial" w:cs="Arial"/>
                <w:b/>
                <w:sz w:val="20"/>
              </w:rPr>
              <w:t>WBE</w:t>
            </w:r>
            <w:proofErr w:type="spellEnd"/>
            <w:r w:rsidRPr="00B7614E">
              <w:rPr>
                <w:rFonts w:ascii="Arial" w:hAnsi="Arial" w:cs="Arial"/>
                <w:b/>
                <w:sz w:val="20"/>
              </w:rPr>
              <w:t xml:space="preserve"> Subcontractor Commitment Form &amp; Letter of Commitment</w:t>
            </w:r>
            <w:r w:rsidRPr="00B7614E">
              <w:rPr>
                <w:rFonts w:ascii="Arial" w:hAnsi="Arial" w:cs="Arial"/>
                <w:sz w:val="20"/>
              </w:rPr>
              <w:t xml:space="preserve"> and </w:t>
            </w:r>
            <w:r w:rsidR="00C2331C" w:rsidRPr="00C2331C">
              <w:rPr>
                <w:rFonts w:ascii="Arial" w:hAnsi="Arial" w:cs="Arial"/>
                <w:b/>
                <w:sz w:val="20"/>
              </w:rPr>
              <w:t xml:space="preserve">Attachment 11 </w:t>
            </w:r>
            <w:r w:rsidRPr="00B7614E">
              <w:rPr>
                <w:rFonts w:ascii="Arial" w:hAnsi="Arial" w:cs="Arial"/>
                <w:b/>
                <w:sz w:val="20"/>
              </w:rPr>
              <w:t>– Milliman Teaming Agreement</w:t>
            </w:r>
            <w:r w:rsidRPr="00B7614E">
              <w:rPr>
                <w:rFonts w:ascii="Arial" w:hAnsi="Arial" w:cs="Arial"/>
                <w:sz w:val="20"/>
              </w:rPr>
              <w:t xml:space="preserve"> show a strong indication from </w:t>
            </w:r>
            <w:r w:rsidR="00A53398" w:rsidRPr="00B7614E">
              <w:rPr>
                <w:rFonts w:ascii="Arial" w:hAnsi="Arial" w:cs="Arial"/>
                <w:sz w:val="20"/>
              </w:rPr>
              <w:t xml:space="preserve">Mangas Global </w:t>
            </w:r>
            <w:r w:rsidR="00517DDF" w:rsidRPr="00B7614E">
              <w:rPr>
                <w:rFonts w:ascii="Arial" w:hAnsi="Arial" w:cs="Arial"/>
                <w:sz w:val="20"/>
              </w:rPr>
              <w:t>Solutions</w:t>
            </w:r>
            <w:r w:rsidRPr="00B7614E">
              <w:rPr>
                <w:rFonts w:ascii="Arial" w:hAnsi="Arial" w:cs="Arial"/>
                <w:sz w:val="20"/>
              </w:rPr>
              <w:t xml:space="preserve"> of a willingness to carry out their responsibilities as a subcontractor for this project.</w:t>
            </w:r>
          </w:p>
          <w:p w14:paraId="0892637D" w14:textId="77777777" w:rsidR="002040FB" w:rsidRPr="00B7614E" w:rsidRDefault="002040FB" w:rsidP="002040FB">
            <w:pPr>
              <w:rPr>
                <w:rFonts w:ascii="Arial" w:hAnsi="Arial" w:cs="Arial"/>
                <w:sz w:val="20"/>
              </w:rPr>
            </w:pPr>
          </w:p>
          <w:p w14:paraId="77C302C5" w14:textId="1B2DD9BB" w:rsidR="002040FB" w:rsidRDefault="002040FB" w:rsidP="002040FB">
            <w:pPr>
              <w:rPr>
                <w:rFonts w:ascii="Arial" w:hAnsi="Arial" w:cs="Arial"/>
                <w:sz w:val="20"/>
              </w:rPr>
            </w:pPr>
            <w:r w:rsidRPr="00B7614E">
              <w:rPr>
                <w:rFonts w:ascii="Arial" w:hAnsi="Arial" w:cs="Arial"/>
                <w:sz w:val="20"/>
              </w:rPr>
              <w:t xml:space="preserve">f. </w:t>
            </w:r>
            <w:r w:rsidR="00A53398" w:rsidRPr="00B7614E">
              <w:rPr>
                <w:rFonts w:ascii="Arial" w:hAnsi="Arial" w:cs="Arial"/>
                <w:sz w:val="20"/>
              </w:rPr>
              <w:t xml:space="preserve">Mangas Global Solutions, Inc., </w:t>
            </w:r>
            <w:r w:rsidRPr="00B7614E">
              <w:rPr>
                <w:rFonts w:ascii="Arial" w:hAnsi="Arial" w:cs="Arial"/>
                <w:sz w:val="20"/>
              </w:rPr>
              <w:t xml:space="preserve">qualifies as a Minority Owned Business; see </w:t>
            </w:r>
            <w:r w:rsidR="00C2331C" w:rsidRPr="00C2331C">
              <w:rPr>
                <w:rFonts w:ascii="Arial" w:hAnsi="Arial" w:cs="Arial"/>
                <w:b/>
                <w:bCs/>
                <w:sz w:val="20"/>
              </w:rPr>
              <w:t>Attachment 9</w:t>
            </w:r>
            <w:r w:rsidR="00C2331C" w:rsidRPr="00B7614E">
              <w:rPr>
                <w:rFonts w:ascii="Arial" w:hAnsi="Arial" w:cs="Arial"/>
                <w:color w:val="FF0000"/>
                <w:sz w:val="20"/>
              </w:rPr>
              <w:t xml:space="preserve"> </w:t>
            </w:r>
            <w:r w:rsidRPr="00B7614E">
              <w:rPr>
                <w:rFonts w:ascii="Arial" w:hAnsi="Arial" w:cs="Arial"/>
                <w:sz w:val="20"/>
              </w:rPr>
              <w:t xml:space="preserve">for </w:t>
            </w:r>
            <w:r w:rsidR="00C2331C">
              <w:rPr>
                <w:rFonts w:ascii="Arial" w:hAnsi="Arial" w:cs="Arial"/>
                <w:sz w:val="20"/>
              </w:rPr>
              <w:t xml:space="preserve">the </w:t>
            </w:r>
            <w:r w:rsidRPr="00B7614E">
              <w:rPr>
                <w:rFonts w:ascii="Arial" w:hAnsi="Arial" w:cs="Arial"/>
                <w:sz w:val="20"/>
              </w:rPr>
              <w:t>Certification Letter.</w:t>
            </w:r>
          </w:p>
          <w:p w14:paraId="50DEBDB4" w14:textId="0686ADB7" w:rsidR="002040FB" w:rsidRPr="00B7614E" w:rsidRDefault="002040FB" w:rsidP="002040FB">
            <w:pPr>
              <w:rPr>
                <w:rFonts w:ascii="Arial" w:hAnsi="Arial" w:cs="Arial"/>
                <w:sz w:val="20"/>
              </w:rPr>
            </w:pPr>
          </w:p>
        </w:tc>
      </w:tr>
    </w:tbl>
    <w:p w14:paraId="5A9F80A6" w14:textId="77777777" w:rsidR="0009502C" w:rsidRPr="00A2550B" w:rsidRDefault="0009502C" w:rsidP="0009502C">
      <w:pPr>
        <w:rPr>
          <w:rFonts w:asciiTheme="minorHAnsi" w:hAnsiTheme="minorHAnsi" w:cstheme="minorHAnsi"/>
          <w:szCs w:val="24"/>
        </w:rPr>
      </w:pPr>
    </w:p>
    <w:p w14:paraId="7CA25224" w14:textId="0CD09D8C" w:rsidR="005A0FC8" w:rsidRPr="00251750" w:rsidRDefault="00FD5220" w:rsidP="00AA5298">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AA5298">
        <w:rPr>
          <w:rFonts w:asciiTheme="minorHAnsi" w:hAnsiTheme="minorHAnsi" w:cstheme="minorHAnsi"/>
          <w:szCs w:val="24"/>
        </w:rPr>
        <w:t>Removed at request of agency</w:t>
      </w:r>
      <w:r w:rsidR="00AA5298" w:rsidRPr="000770AE">
        <w:rPr>
          <w:rFonts w:asciiTheme="minorHAnsi" w:hAnsiTheme="minorHAnsi" w:cstheme="minorHAnsi"/>
          <w:szCs w:val="24"/>
        </w:rPr>
        <w:t>.</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A53398">
        <w:tc>
          <w:tcPr>
            <w:tcW w:w="4336" w:type="dxa"/>
            <w:shd w:val="clear" w:color="auto" w:fill="B3B3B3"/>
          </w:tcPr>
          <w:p w14:paraId="01EDD3CB" w14:textId="77777777" w:rsidR="00FD5220" w:rsidRPr="00B7614E" w:rsidRDefault="00FD5220" w:rsidP="00FD5220">
            <w:pPr>
              <w:rPr>
                <w:rFonts w:ascii="Arial" w:hAnsi="Arial" w:cs="Arial"/>
                <w:b/>
                <w:sz w:val="20"/>
              </w:rPr>
            </w:pPr>
            <w:r w:rsidRPr="00B7614E">
              <w:rPr>
                <w:rFonts w:ascii="Arial" w:hAnsi="Arial" w:cs="Arial"/>
                <w:b/>
                <w:sz w:val="20"/>
              </w:rPr>
              <w:t>Business Information</w:t>
            </w:r>
          </w:p>
        </w:tc>
        <w:tc>
          <w:tcPr>
            <w:tcW w:w="4294" w:type="dxa"/>
            <w:tcBorders>
              <w:bottom w:val="single" w:sz="4" w:space="0" w:color="auto"/>
            </w:tcBorders>
            <w:shd w:val="clear" w:color="auto" w:fill="B3B3B3"/>
          </w:tcPr>
          <w:p w14:paraId="1BE2BAD6" w14:textId="77777777" w:rsidR="00FD5220" w:rsidRPr="00B7614E" w:rsidRDefault="00FD5220" w:rsidP="00FD5220">
            <w:pPr>
              <w:rPr>
                <w:rFonts w:ascii="Arial" w:hAnsi="Arial" w:cs="Arial"/>
                <w:sz w:val="20"/>
              </w:rPr>
            </w:pPr>
          </w:p>
        </w:tc>
      </w:tr>
      <w:tr w:rsidR="00A53398" w:rsidRPr="00A2550B" w14:paraId="2CCA2E95" w14:textId="77777777" w:rsidTr="00A53398">
        <w:tc>
          <w:tcPr>
            <w:tcW w:w="4336" w:type="dxa"/>
            <w:vAlign w:val="bottom"/>
          </w:tcPr>
          <w:p w14:paraId="2EF27C40" w14:textId="77777777" w:rsidR="00A53398" w:rsidRPr="00B7614E" w:rsidRDefault="00A53398" w:rsidP="00A53398">
            <w:pPr>
              <w:rPr>
                <w:rFonts w:ascii="Arial" w:hAnsi="Arial" w:cs="Arial"/>
                <w:sz w:val="20"/>
              </w:rPr>
            </w:pPr>
            <w:r w:rsidRPr="00B7614E">
              <w:rPr>
                <w:rFonts w:ascii="Arial" w:hAnsi="Arial" w:cs="Arial"/>
                <w:sz w:val="20"/>
              </w:rPr>
              <w:t>Legal Name of Company</w:t>
            </w:r>
          </w:p>
        </w:tc>
        <w:tc>
          <w:tcPr>
            <w:tcW w:w="4294" w:type="dxa"/>
            <w:shd w:val="clear" w:color="auto" w:fill="FFFF99"/>
          </w:tcPr>
          <w:p w14:paraId="27957C31" w14:textId="0F72EDF9" w:rsidR="00A53398" w:rsidRPr="00B7614E" w:rsidRDefault="00A53398" w:rsidP="00A53398">
            <w:pPr>
              <w:rPr>
                <w:rFonts w:ascii="Arial" w:hAnsi="Arial" w:cs="Arial"/>
                <w:sz w:val="20"/>
              </w:rPr>
            </w:pPr>
            <w:r w:rsidRPr="00B7614E">
              <w:rPr>
                <w:rFonts w:ascii="Arial" w:hAnsi="Arial" w:cs="Arial"/>
                <w:sz w:val="20"/>
              </w:rPr>
              <w:t>Milliman, Inc.</w:t>
            </w:r>
          </w:p>
        </w:tc>
      </w:tr>
      <w:tr w:rsidR="00A53398" w:rsidRPr="00A2550B" w14:paraId="1D89970D" w14:textId="77777777" w:rsidTr="00A53398">
        <w:tc>
          <w:tcPr>
            <w:tcW w:w="4336" w:type="dxa"/>
            <w:vAlign w:val="bottom"/>
          </w:tcPr>
          <w:p w14:paraId="6369C83E" w14:textId="77777777" w:rsidR="00A53398" w:rsidRPr="00B7614E" w:rsidRDefault="00A53398" w:rsidP="00A53398">
            <w:pPr>
              <w:rPr>
                <w:rFonts w:ascii="Arial" w:hAnsi="Arial" w:cs="Arial"/>
                <w:sz w:val="20"/>
              </w:rPr>
            </w:pPr>
            <w:r w:rsidRPr="00B7614E">
              <w:rPr>
                <w:rFonts w:ascii="Arial" w:hAnsi="Arial" w:cs="Arial"/>
                <w:sz w:val="20"/>
              </w:rPr>
              <w:t>Contact Name</w:t>
            </w:r>
          </w:p>
        </w:tc>
        <w:tc>
          <w:tcPr>
            <w:tcW w:w="4294" w:type="dxa"/>
            <w:shd w:val="clear" w:color="auto" w:fill="FFFF99"/>
          </w:tcPr>
          <w:p w14:paraId="6C33E29D" w14:textId="0CCF0081" w:rsidR="00A53398" w:rsidRPr="00B7614E" w:rsidRDefault="00A53398" w:rsidP="00A53398">
            <w:pPr>
              <w:rPr>
                <w:rFonts w:ascii="Arial" w:hAnsi="Arial" w:cs="Arial"/>
                <w:sz w:val="20"/>
              </w:rPr>
            </w:pPr>
            <w:r w:rsidRPr="00B7614E">
              <w:rPr>
                <w:rFonts w:ascii="Arial" w:hAnsi="Arial" w:cs="Arial"/>
                <w:sz w:val="20"/>
              </w:rPr>
              <w:t>Paul R. Houchens</w:t>
            </w:r>
          </w:p>
        </w:tc>
      </w:tr>
      <w:tr w:rsidR="00A53398" w:rsidRPr="00A2550B" w14:paraId="5ED7D81B" w14:textId="77777777" w:rsidTr="00A53398">
        <w:tc>
          <w:tcPr>
            <w:tcW w:w="4336" w:type="dxa"/>
            <w:vAlign w:val="bottom"/>
          </w:tcPr>
          <w:p w14:paraId="4274847F" w14:textId="77777777" w:rsidR="00A53398" w:rsidRPr="00B7614E" w:rsidRDefault="00A53398" w:rsidP="00A53398">
            <w:pPr>
              <w:rPr>
                <w:rFonts w:ascii="Arial" w:hAnsi="Arial" w:cs="Arial"/>
                <w:sz w:val="20"/>
              </w:rPr>
            </w:pPr>
            <w:r w:rsidRPr="00B7614E">
              <w:rPr>
                <w:rFonts w:ascii="Arial" w:hAnsi="Arial" w:cs="Arial"/>
                <w:sz w:val="20"/>
              </w:rPr>
              <w:t>Contact Title</w:t>
            </w:r>
          </w:p>
        </w:tc>
        <w:tc>
          <w:tcPr>
            <w:tcW w:w="4294" w:type="dxa"/>
            <w:shd w:val="clear" w:color="auto" w:fill="FFFF99"/>
          </w:tcPr>
          <w:p w14:paraId="0B0BCD83" w14:textId="3592B38A" w:rsidR="00A53398" w:rsidRPr="00B7614E" w:rsidRDefault="00A53398" w:rsidP="00A53398">
            <w:pPr>
              <w:rPr>
                <w:rFonts w:ascii="Arial" w:hAnsi="Arial" w:cs="Arial"/>
                <w:sz w:val="20"/>
              </w:rPr>
            </w:pPr>
            <w:r w:rsidRPr="00B7614E">
              <w:rPr>
                <w:rFonts w:ascii="Arial" w:hAnsi="Arial" w:cs="Arial"/>
                <w:sz w:val="20"/>
              </w:rPr>
              <w:t>Principal and Consulting Actuary</w:t>
            </w:r>
          </w:p>
        </w:tc>
      </w:tr>
      <w:tr w:rsidR="00A53398" w:rsidRPr="00A2550B" w14:paraId="2756851B" w14:textId="77777777" w:rsidTr="00A53398">
        <w:tc>
          <w:tcPr>
            <w:tcW w:w="4336" w:type="dxa"/>
            <w:vAlign w:val="bottom"/>
          </w:tcPr>
          <w:p w14:paraId="198A6285" w14:textId="77777777" w:rsidR="00A53398" w:rsidRPr="00B7614E" w:rsidRDefault="00A53398" w:rsidP="00A53398">
            <w:pPr>
              <w:rPr>
                <w:rFonts w:ascii="Arial" w:hAnsi="Arial" w:cs="Arial"/>
                <w:sz w:val="20"/>
              </w:rPr>
            </w:pPr>
            <w:r w:rsidRPr="00B7614E">
              <w:rPr>
                <w:rFonts w:ascii="Arial" w:hAnsi="Arial" w:cs="Arial"/>
                <w:sz w:val="20"/>
              </w:rPr>
              <w:t>Contact E-mail Address</w:t>
            </w:r>
          </w:p>
        </w:tc>
        <w:tc>
          <w:tcPr>
            <w:tcW w:w="4294" w:type="dxa"/>
            <w:shd w:val="clear" w:color="auto" w:fill="FFFF99"/>
          </w:tcPr>
          <w:p w14:paraId="6CF25291" w14:textId="38CE694D" w:rsidR="00A53398" w:rsidRPr="00B7614E" w:rsidRDefault="002A2AFE" w:rsidP="00A53398">
            <w:pPr>
              <w:rPr>
                <w:rFonts w:ascii="Arial" w:hAnsi="Arial" w:cs="Arial"/>
                <w:sz w:val="20"/>
              </w:rPr>
            </w:pPr>
            <w:hyperlink r:id="rId18" w:history="1">
              <w:r w:rsidR="00A53398" w:rsidRPr="00B7614E">
                <w:rPr>
                  <w:rStyle w:val="Hyperlink"/>
                  <w:rFonts w:ascii="Arial" w:hAnsi="Arial" w:cs="Arial"/>
                  <w:sz w:val="20"/>
                </w:rPr>
                <w:t>paul.houchens@milliman.com</w:t>
              </w:r>
            </w:hyperlink>
          </w:p>
        </w:tc>
      </w:tr>
      <w:tr w:rsidR="00A53398" w:rsidRPr="00A2550B" w14:paraId="2A926063" w14:textId="77777777" w:rsidTr="00A53398">
        <w:tc>
          <w:tcPr>
            <w:tcW w:w="4336" w:type="dxa"/>
            <w:vAlign w:val="bottom"/>
          </w:tcPr>
          <w:p w14:paraId="3D3D1D2C" w14:textId="77777777" w:rsidR="00A53398" w:rsidRPr="00B7614E" w:rsidRDefault="00A53398" w:rsidP="00A53398">
            <w:pPr>
              <w:rPr>
                <w:rFonts w:ascii="Arial" w:hAnsi="Arial" w:cs="Arial"/>
                <w:sz w:val="20"/>
              </w:rPr>
            </w:pPr>
            <w:r w:rsidRPr="00B7614E">
              <w:rPr>
                <w:rFonts w:ascii="Arial" w:hAnsi="Arial" w:cs="Arial"/>
                <w:sz w:val="20"/>
              </w:rPr>
              <w:lastRenderedPageBreak/>
              <w:t>Company Mailing Address</w:t>
            </w:r>
          </w:p>
        </w:tc>
        <w:tc>
          <w:tcPr>
            <w:tcW w:w="4294" w:type="dxa"/>
            <w:shd w:val="clear" w:color="auto" w:fill="FFFF99"/>
          </w:tcPr>
          <w:p w14:paraId="6C94FBF2" w14:textId="5CC54C5C" w:rsidR="00A53398" w:rsidRPr="00B7614E" w:rsidRDefault="00A53398" w:rsidP="00A53398">
            <w:pPr>
              <w:rPr>
                <w:rFonts w:ascii="Arial" w:hAnsi="Arial" w:cs="Arial"/>
                <w:sz w:val="20"/>
              </w:rPr>
            </w:pPr>
            <w:r w:rsidRPr="00B7614E">
              <w:rPr>
                <w:rFonts w:ascii="Arial" w:hAnsi="Arial" w:cs="Arial"/>
                <w:sz w:val="20"/>
              </w:rPr>
              <w:t>10 W Market Street, Suite 1600</w:t>
            </w:r>
          </w:p>
        </w:tc>
      </w:tr>
      <w:tr w:rsidR="00A53398" w:rsidRPr="00A2550B" w14:paraId="14730263" w14:textId="77777777" w:rsidTr="00A53398">
        <w:tc>
          <w:tcPr>
            <w:tcW w:w="4336" w:type="dxa"/>
            <w:vAlign w:val="bottom"/>
          </w:tcPr>
          <w:p w14:paraId="4C8877FA" w14:textId="77777777" w:rsidR="00A53398" w:rsidRPr="00B7614E" w:rsidRDefault="00A53398" w:rsidP="00A53398">
            <w:pPr>
              <w:rPr>
                <w:rFonts w:ascii="Arial" w:hAnsi="Arial" w:cs="Arial"/>
                <w:sz w:val="20"/>
              </w:rPr>
            </w:pPr>
            <w:r w:rsidRPr="00B7614E">
              <w:rPr>
                <w:rFonts w:ascii="Arial" w:hAnsi="Arial" w:cs="Arial"/>
                <w:sz w:val="20"/>
              </w:rPr>
              <w:t>Company City, State, Zip</w:t>
            </w:r>
          </w:p>
        </w:tc>
        <w:tc>
          <w:tcPr>
            <w:tcW w:w="4294" w:type="dxa"/>
            <w:shd w:val="clear" w:color="auto" w:fill="FFFF99"/>
          </w:tcPr>
          <w:p w14:paraId="2A6F8CA3" w14:textId="180F476E" w:rsidR="00A53398" w:rsidRPr="00B7614E" w:rsidRDefault="00A53398" w:rsidP="00A53398">
            <w:pPr>
              <w:rPr>
                <w:rFonts w:ascii="Arial" w:hAnsi="Arial" w:cs="Arial"/>
                <w:sz w:val="20"/>
              </w:rPr>
            </w:pPr>
            <w:r w:rsidRPr="00B7614E">
              <w:rPr>
                <w:rFonts w:ascii="Arial" w:hAnsi="Arial" w:cs="Arial"/>
                <w:sz w:val="20"/>
              </w:rPr>
              <w:t>Indianapolis, Indiana 46204</w:t>
            </w:r>
          </w:p>
        </w:tc>
      </w:tr>
      <w:tr w:rsidR="00A53398" w:rsidRPr="00A2550B" w14:paraId="1E614278" w14:textId="77777777" w:rsidTr="00A53398">
        <w:tc>
          <w:tcPr>
            <w:tcW w:w="4336" w:type="dxa"/>
            <w:vAlign w:val="bottom"/>
          </w:tcPr>
          <w:p w14:paraId="1B2F5A25" w14:textId="77777777" w:rsidR="00A53398" w:rsidRPr="00B7614E" w:rsidRDefault="00A53398" w:rsidP="00A53398">
            <w:pPr>
              <w:rPr>
                <w:rFonts w:ascii="Arial" w:hAnsi="Arial" w:cs="Arial"/>
                <w:sz w:val="20"/>
              </w:rPr>
            </w:pPr>
            <w:r w:rsidRPr="00B7614E">
              <w:rPr>
                <w:rFonts w:ascii="Arial" w:hAnsi="Arial" w:cs="Arial"/>
                <w:sz w:val="20"/>
              </w:rPr>
              <w:t>Company Telephone Number</w:t>
            </w:r>
          </w:p>
        </w:tc>
        <w:tc>
          <w:tcPr>
            <w:tcW w:w="4294" w:type="dxa"/>
            <w:shd w:val="clear" w:color="auto" w:fill="FFFF99"/>
          </w:tcPr>
          <w:p w14:paraId="02A2108A" w14:textId="1D3410EB" w:rsidR="00A53398" w:rsidRPr="00B7614E" w:rsidRDefault="00A53398" w:rsidP="00A53398">
            <w:pPr>
              <w:rPr>
                <w:rFonts w:ascii="Arial" w:hAnsi="Arial" w:cs="Arial"/>
                <w:sz w:val="20"/>
              </w:rPr>
            </w:pPr>
            <w:r w:rsidRPr="00B7614E">
              <w:rPr>
                <w:rFonts w:ascii="Arial" w:hAnsi="Arial" w:cs="Arial"/>
                <w:sz w:val="20"/>
              </w:rPr>
              <w:t>(317) 639-1000</w:t>
            </w:r>
          </w:p>
        </w:tc>
      </w:tr>
      <w:tr w:rsidR="00A53398" w:rsidRPr="00A2550B" w14:paraId="79EE0990" w14:textId="77777777" w:rsidTr="00A53398">
        <w:tc>
          <w:tcPr>
            <w:tcW w:w="4336" w:type="dxa"/>
            <w:vAlign w:val="bottom"/>
          </w:tcPr>
          <w:p w14:paraId="143FC240" w14:textId="77777777" w:rsidR="00A53398" w:rsidRPr="00B7614E" w:rsidRDefault="00A53398" w:rsidP="00A53398">
            <w:pPr>
              <w:rPr>
                <w:rFonts w:ascii="Arial" w:hAnsi="Arial" w:cs="Arial"/>
                <w:sz w:val="20"/>
              </w:rPr>
            </w:pPr>
            <w:r w:rsidRPr="00B7614E">
              <w:rPr>
                <w:rFonts w:ascii="Arial" w:hAnsi="Arial" w:cs="Arial"/>
                <w:sz w:val="20"/>
              </w:rPr>
              <w:t>Company Fax Number</w:t>
            </w:r>
          </w:p>
        </w:tc>
        <w:tc>
          <w:tcPr>
            <w:tcW w:w="4294" w:type="dxa"/>
            <w:shd w:val="clear" w:color="auto" w:fill="FFFF99"/>
          </w:tcPr>
          <w:p w14:paraId="6D0BD4C2" w14:textId="7179C58F" w:rsidR="00A53398" w:rsidRPr="00B7614E" w:rsidRDefault="00A53398" w:rsidP="00A53398">
            <w:pPr>
              <w:rPr>
                <w:rFonts w:ascii="Arial" w:hAnsi="Arial" w:cs="Arial"/>
                <w:sz w:val="20"/>
              </w:rPr>
            </w:pPr>
            <w:r w:rsidRPr="00B7614E">
              <w:rPr>
                <w:rFonts w:ascii="Arial" w:hAnsi="Arial" w:cs="Arial"/>
                <w:sz w:val="20"/>
              </w:rPr>
              <w:t>N/A</w:t>
            </w:r>
          </w:p>
        </w:tc>
      </w:tr>
      <w:tr w:rsidR="00A53398" w:rsidRPr="00A2550B" w14:paraId="51CDA962" w14:textId="77777777" w:rsidTr="00A53398">
        <w:tc>
          <w:tcPr>
            <w:tcW w:w="4336" w:type="dxa"/>
            <w:vAlign w:val="bottom"/>
          </w:tcPr>
          <w:p w14:paraId="3BF1D984" w14:textId="77777777" w:rsidR="00A53398" w:rsidRPr="00B7614E" w:rsidRDefault="00A53398" w:rsidP="00A53398">
            <w:pPr>
              <w:rPr>
                <w:rFonts w:ascii="Arial" w:hAnsi="Arial" w:cs="Arial"/>
                <w:sz w:val="20"/>
              </w:rPr>
            </w:pPr>
            <w:r w:rsidRPr="00B7614E">
              <w:rPr>
                <w:rFonts w:ascii="Arial" w:hAnsi="Arial" w:cs="Arial"/>
                <w:sz w:val="20"/>
              </w:rPr>
              <w:t>Company Website Address</w:t>
            </w:r>
          </w:p>
        </w:tc>
        <w:tc>
          <w:tcPr>
            <w:tcW w:w="4294" w:type="dxa"/>
            <w:shd w:val="clear" w:color="auto" w:fill="FFFF99"/>
          </w:tcPr>
          <w:p w14:paraId="48326EB3" w14:textId="679CF602" w:rsidR="00A53398" w:rsidRPr="00B7614E" w:rsidRDefault="002A2AFE" w:rsidP="00A53398">
            <w:pPr>
              <w:rPr>
                <w:rFonts w:ascii="Arial" w:hAnsi="Arial" w:cs="Arial"/>
                <w:sz w:val="20"/>
              </w:rPr>
            </w:pPr>
            <w:hyperlink r:id="rId19" w:history="1">
              <w:r w:rsidR="00A53398" w:rsidRPr="00B7614E">
                <w:rPr>
                  <w:rStyle w:val="Hyperlink"/>
                  <w:rFonts w:ascii="Arial" w:hAnsi="Arial" w:cs="Arial"/>
                  <w:sz w:val="20"/>
                </w:rPr>
                <w:t>https://us.milliman.com/en/</w:t>
              </w:r>
            </w:hyperlink>
          </w:p>
        </w:tc>
      </w:tr>
      <w:tr w:rsidR="00A53398" w:rsidRPr="00A2550B" w14:paraId="5A581B93" w14:textId="77777777" w:rsidTr="00A53398">
        <w:tc>
          <w:tcPr>
            <w:tcW w:w="4336" w:type="dxa"/>
            <w:vAlign w:val="bottom"/>
          </w:tcPr>
          <w:p w14:paraId="59E80511" w14:textId="77777777" w:rsidR="00A53398" w:rsidRPr="00B7614E" w:rsidRDefault="00A53398" w:rsidP="00A53398">
            <w:pPr>
              <w:rPr>
                <w:rFonts w:ascii="Arial" w:hAnsi="Arial" w:cs="Arial"/>
                <w:sz w:val="20"/>
              </w:rPr>
            </w:pPr>
            <w:r w:rsidRPr="00B7614E">
              <w:rPr>
                <w:rFonts w:ascii="Arial" w:hAnsi="Arial" w:cs="Arial"/>
                <w:sz w:val="20"/>
              </w:rPr>
              <w:t>Federal Tax Identification Number (</w:t>
            </w:r>
            <w:proofErr w:type="spellStart"/>
            <w:r w:rsidRPr="00B7614E">
              <w:rPr>
                <w:rFonts w:ascii="Arial" w:hAnsi="Arial" w:cs="Arial"/>
                <w:sz w:val="20"/>
              </w:rPr>
              <w:t>FTIN</w:t>
            </w:r>
            <w:proofErr w:type="spellEnd"/>
            <w:r w:rsidRPr="00B7614E">
              <w:rPr>
                <w:rFonts w:ascii="Arial" w:hAnsi="Arial" w:cs="Arial"/>
                <w:sz w:val="20"/>
              </w:rPr>
              <w:t>)</w:t>
            </w:r>
          </w:p>
        </w:tc>
        <w:tc>
          <w:tcPr>
            <w:tcW w:w="4294" w:type="dxa"/>
            <w:shd w:val="clear" w:color="auto" w:fill="FFFF99"/>
          </w:tcPr>
          <w:p w14:paraId="35174FAB" w14:textId="0B969CB2" w:rsidR="00A53398" w:rsidRPr="00B7614E" w:rsidRDefault="00A53398" w:rsidP="00A53398">
            <w:pPr>
              <w:rPr>
                <w:rFonts w:ascii="Arial" w:hAnsi="Arial" w:cs="Arial"/>
                <w:sz w:val="20"/>
              </w:rPr>
            </w:pPr>
            <w:r w:rsidRPr="00B7614E">
              <w:rPr>
                <w:rFonts w:ascii="Arial" w:hAnsi="Arial" w:cs="Arial"/>
                <w:sz w:val="20"/>
              </w:rPr>
              <w:t>91-0675641</w:t>
            </w:r>
          </w:p>
        </w:tc>
      </w:tr>
      <w:tr w:rsidR="00A53398" w:rsidRPr="00A2550B" w14:paraId="169F9D5E" w14:textId="77777777" w:rsidTr="00A53398">
        <w:tc>
          <w:tcPr>
            <w:tcW w:w="4336" w:type="dxa"/>
            <w:vAlign w:val="bottom"/>
          </w:tcPr>
          <w:p w14:paraId="0126C90C" w14:textId="77777777" w:rsidR="00A53398" w:rsidRPr="00B7614E" w:rsidRDefault="00A53398" w:rsidP="00A53398">
            <w:pPr>
              <w:rPr>
                <w:rFonts w:ascii="Arial" w:hAnsi="Arial" w:cs="Arial"/>
                <w:sz w:val="20"/>
              </w:rPr>
            </w:pPr>
            <w:r w:rsidRPr="00B7614E">
              <w:rPr>
                <w:rFonts w:ascii="Arial" w:hAnsi="Arial" w:cs="Arial"/>
                <w:sz w:val="20"/>
              </w:rPr>
              <w:t>Number of Employees (company)</w:t>
            </w:r>
          </w:p>
        </w:tc>
        <w:tc>
          <w:tcPr>
            <w:tcW w:w="4294" w:type="dxa"/>
            <w:shd w:val="clear" w:color="auto" w:fill="FFFF99"/>
          </w:tcPr>
          <w:p w14:paraId="47FB8163" w14:textId="14B28EF2" w:rsidR="00A53398" w:rsidRPr="00B7614E" w:rsidRDefault="00A53398" w:rsidP="00A53398">
            <w:pPr>
              <w:rPr>
                <w:rFonts w:ascii="Arial" w:hAnsi="Arial" w:cs="Arial"/>
                <w:color w:val="FF0000"/>
                <w:sz w:val="20"/>
              </w:rPr>
            </w:pPr>
            <w:r w:rsidRPr="00B7614E">
              <w:rPr>
                <w:rFonts w:ascii="Arial" w:hAnsi="Arial" w:cs="Arial"/>
                <w:sz w:val="20"/>
              </w:rPr>
              <w:t>4</w:t>
            </w:r>
            <w:r w:rsidR="006F59D1" w:rsidRPr="00B7614E">
              <w:rPr>
                <w:rFonts w:ascii="Arial" w:hAnsi="Arial" w:cs="Arial"/>
                <w:sz w:val="20"/>
              </w:rPr>
              <w:t>500</w:t>
            </w:r>
          </w:p>
        </w:tc>
      </w:tr>
      <w:tr w:rsidR="00A53398" w:rsidRPr="00A2550B" w14:paraId="640C71B4" w14:textId="77777777" w:rsidTr="00A53398">
        <w:tc>
          <w:tcPr>
            <w:tcW w:w="4336" w:type="dxa"/>
            <w:vAlign w:val="bottom"/>
          </w:tcPr>
          <w:p w14:paraId="0464DB65" w14:textId="77777777" w:rsidR="00A53398" w:rsidRPr="00B7614E" w:rsidRDefault="00A53398" w:rsidP="00A53398">
            <w:pPr>
              <w:rPr>
                <w:rFonts w:ascii="Arial" w:hAnsi="Arial" w:cs="Arial"/>
                <w:sz w:val="20"/>
              </w:rPr>
            </w:pPr>
            <w:r w:rsidRPr="00B7614E">
              <w:rPr>
                <w:rFonts w:ascii="Arial" w:hAnsi="Arial" w:cs="Arial"/>
                <w:sz w:val="20"/>
              </w:rPr>
              <w:t>Years of Experience</w:t>
            </w:r>
          </w:p>
        </w:tc>
        <w:tc>
          <w:tcPr>
            <w:tcW w:w="4294" w:type="dxa"/>
            <w:shd w:val="clear" w:color="auto" w:fill="FFFF99"/>
          </w:tcPr>
          <w:p w14:paraId="2C4166AB" w14:textId="779EF4E1" w:rsidR="00A53398" w:rsidRPr="00B7614E" w:rsidRDefault="00A53398" w:rsidP="00A53398">
            <w:pPr>
              <w:rPr>
                <w:rFonts w:ascii="Arial" w:hAnsi="Arial" w:cs="Arial"/>
                <w:color w:val="FF0000"/>
                <w:sz w:val="20"/>
              </w:rPr>
            </w:pPr>
            <w:r w:rsidRPr="00B7614E">
              <w:rPr>
                <w:rFonts w:ascii="Arial" w:hAnsi="Arial" w:cs="Arial"/>
                <w:sz w:val="20"/>
              </w:rPr>
              <w:t>75</w:t>
            </w:r>
          </w:p>
        </w:tc>
      </w:tr>
      <w:tr w:rsidR="00A53398" w:rsidRPr="00A2550B" w14:paraId="58DD072F" w14:textId="77777777" w:rsidTr="00A53398">
        <w:tc>
          <w:tcPr>
            <w:tcW w:w="4336" w:type="dxa"/>
            <w:vAlign w:val="bottom"/>
          </w:tcPr>
          <w:p w14:paraId="4C730073" w14:textId="77777777" w:rsidR="00A53398" w:rsidRPr="00B7614E" w:rsidRDefault="00A53398" w:rsidP="00A53398">
            <w:pPr>
              <w:rPr>
                <w:rFonts w:ascii="Arial" w:hAnsi="Arial" w:cs="Arial"/>
                <w:sz w:val="20"/>
              </w:rPr>
            </w:pPr>
            <w:r w:rsidRPr="00B7614E">
              <w:rPr>
                <w:rFonts w:ascii="Arial" w:hAnsi="Arial" w:cs="Arial"/>
                <w:sz w:val="20"/>
              </w:rPr>
              <w:t>Number of U.S. Offices</w:t>
            </w:r>
          </w:p>
        </w:tc>
        <w:tc>
          <w:tcPr>
            <w:tcW w:w="4294" w:type="dxa"/>
            <w:shd w:val="clear" w:color="auto" w:fill="FFFF99"/>
          </w:tcPr>
          <w:p w14:paraId="72E5117E" w14:textId="75FC8EA3" w:rsidR="00A53398" w:rsidRPr="00B7614E" w:rsidRDefault="00C72152" w:rsidP="00A53398">
            <w:pPr>
              <w:rPr>
                <w:rFonts w:ascii="Arial" w:hAnsi="Arial" w:cs="Arial"/>
                <w:color w:val="FF0000"/>
                <w:sz w:val="20"/>
              </w:rPr>
            </w:pPr>
            <w:r w:rsidRPr="00B7614E">
              <w:rPr>
                <w:rFonts w:ascii="Arial" w:hAnsi="Arial" w:cs="Arial"/>
                <w:sz w:val="20"/>
              </w:rPr>
              <w:t>30</w:t>
            </w:r>
          </w:p>
        </w:tc>
      </w:tr>
      <w:tr w:rsidR="00A53398" w:rsidRPr="00A2550B" w14:paraId="6D85AB49" w14:textId="77777777" w:rsidTr="00A53398">
        <w:tc>
          <w:tcPr>
            <w:tcW w:w="4336" w:type="dxa"/>
            <w:vAlign w:val="bottom"/>
          </w:tcPr>
          <w:p w14:paraId="32696C05" w14:textId="77777777" w:rsidR="00A53398" w:rsidRPr="00B7614E" w:rsidRDefault="00A53398" w:rsidP="00A53398">
            <w:pPr>
              <w:rPr>
                <w:rFonts w:ascii="Arial" w:hAnsi="Arial" w:cs="Arial"/>
                <w:sz w:val="20"/>
              </w:rPr>
            </w:pPr>
            <w:r w:rsidRPr="00B7614E">
              <w:rPr>
                <w:rFonts w:ascii="Arial" w:hAnsi="Arial" w:cs="Arial"/>
                <w:sz w:val="20"/>
              </w:rPr>
              <w:t>Year Indiana Office Established (if applicable)</w:t>
            </w:r>
          </w:p>
        </w:tc>
        <w:tc>
          <w:tcPr>
            <w:tcW w:w="4294" w:type="dxa"/>
            <w:shd w:val="clear" w:color="auto" w:fill="FFFF99"/>
          </w:tcPr>
          <w:p w14:paraId="1161BC68" w14:textId="6E7BC4E4" w:rsidR="00A53398" w:rsidRPr="00B7614E" w:rsidRDefault="00A53398" w:rsidP="00A53398">
            <w:pPr>
              <w:rPr>
                <w:rFonts w:ascii="Arial" w:hAnsi="Arial" w:cs="Arial"/>
                <w:color w:val="FF0000"/>
                <w:sz w:val="20"/>
              </w:rPr>
            </w:pPr>
            <w:r w:rsidRPr="00B7614E">
              <w:rPr>
                <w:rFonts w:ascii="Arial" w:hAnsi="Arial" w:cs="Arial"/>
                <w:sz w:val="20"/>
              </w:rPr>
              <w:t>1994</w:t>
            </w:r>
          </w:p>
        </w:tc>
      </w:tr>
      <w:tr w:rsidR="00A53398" w:rsidRPr="00A2550B" w14:paraId="3D6ED181" w14:textId="77777777" w:rsidTr="00A53398">
        <w:tc>
          <w:tcPr>
            <w:tcW w:w="4336" w:type="dxa"/>
            <w:vAlign w:val="bottom"/>
          </w:tcPr>
          <w:p w14:paraId="3C08F0A1" w14:textId="77777777" w:rsidR="00A53398" w:rsidRPr="00B7614E" w:rsidRDefault="00A53398" w:rsidP="00A53398">
            <w:pPr>
              <w:rPr>
                <w:rFonts w:ascii="Arial" w:hAnsi="Arial" w:cs="Arial"/>
                <w:sz w:val="20"/>
              </w:rPr>
            </w:pPr>
            <w:r w:rsidRPr="00B7614E">
              <w:rPr>
                <w:rFonts w:ascii="Arial" w:hAnsi="Arial" w:cs="Arial"/>
                <w:sz w:val="20"/>
              </w:rPr>
              <w:t>Parent Company (if applicable)</w:t>
            </w:r>
          </w:p>
        </w:tc>
        <w:tc>
          <w:tcPr>
            <w:tcW w:w="4294" w:type="dxa"/>
            <w:shd w:val="clear" w:color="auto" w:fill="FFFF99"/>
          </w:tcPr>
          <w:p w14:paraId="3E04138D" w14:textId="1D3D5E95" w:rsidR="00A53398" w:rsidRPr="00B7614E" w:rsidRDefault="00A53398" w:rsidP="00A53398">
            <w:pPr>
              <w:rPr>
                <w:rFonts w:ascii="Arial" w:hAnsi="Arial" w:cs="Arial"/>
                <w:color w:val="FF0000"/>
                <w:sz w:val="20"/>
              </w:rPr>
            </w:pPr>
            <w:r w:rsidRPr="00B7614E">
              <w:rPr>
                <w:rFonts w:ascii="Arial" w:hAnsi="Arial" w:cs="Arial"/>
                <w:sz w:val="20"/>
              </w:rPr>
              <w:t>N/A</w:t>
            </w:r>
          </w:p>
        </w:tc>
      </w:tr>
      <w:tr w:rsidR="00A53398" w:rsidRPr="00A2550B" w14:paraId="6442E919" w14:textId="77777777" w:rsidTr="00A53398">
        <w:tc>
          <w:tcPr>
            <w:tcW w:w="4336" w:type="dxa"/>
            <w:vAlign w:val="bottom"/>
          </w:tcPr>
          <w:p w14:paraId="5F680E10" w14:textId="77777777" w:rsidR="00A53398" w:rsidRPr="00B7614E" w:rsidRDefault="00A53398" w:rsidP="00A53398">
            <w:pPr>
              <w:rPr>
                <w:rFonts w:ascii="Arial" w:hAnsi="Arial" w:cs="Arial"/>
                <w:sz w:val="20"/>
              </w:rPr>
            </w:pPr>
            <w:r w:rsidRPr="00B7614E">
              <w:rPr>
                <w:rFonts w:ascii="Arial" w:hAnsi="Arial" w:cs="Arial"/>
                <w:sz w:val="20"/>
              </w:rPr>
              <w:t>Revenues ($MM, previous year)</w:t>
            </w:r>
          </w:p>
        </w:tc>
        <w:tc>
          <w:tcPr>
            <w:tcW w:w="4294" w:type="dxa"/>
            <w:shd w:val="clear" w:color="auto" w:fill="FFFF99"/>
          </w:tcPr>
          <w:p w14:paraId="35F0719A" w14:textId="296AD73E" w:rsidR="00A53398" w:rsidRPr="00B7614E" w:rsidRDefault="0043255D" w:rsidP="00A53398">
            <w:pPr>
              <w:rPr>
                <w:rFonts w:ascii="Arial" w:hAnsi="Arial" w:cs="Arial"/>
                <w:sz w:val="20"/>
              </w:rPr>
            </w:pPr>
            <w:r>
              <w:rPr>
                <w:rFonts w:ascii="Arial" w:hAnsi="Arial" w:cs="Arial"/>
                <w:sz w:val="20"/>
              </w:rPr>
              <w:t>$</w:t>
            </w:r>
            <w:r w:rsidR="00A53398" w:rsidRPr="00B7614E">
              <w:rPr>
                <w:rFonts w:ascii="Arial" w:hAnsi="Arial" w:cs="Arial"/>
                <w:sz w:val="20"/>
              </w:rPr>
              <w:t>1.</w:t>
            </w:r>
            <w:r w:rsidR="004E5F85" w:rsidRPr="00B7614E">
              <w:rPr>
                <w:rFonts w:ascii="Arial" w:hAnsi="Arial" w:cs="Arial"/>
                <w:sz w:val="20"/>
              </w:rPr>
              <w:t>405</w:t>
            </w:r>
            <w:r w:rsidR="00326B41" w:rsidRPr="00B7614E">
              <w:rPr>
                <w:rFonts w:ascii="Arial" w:hAnsi="Arial" w:cs="Arial"/>
                <w:sz w:val="20"/>
              </w:rPr>
              <w:t>B</w:t>
            </w:r>
            <w:r w:rsidR="00A53398" w:rsidRPr="00B7614E">
              <w:rPr>
                <w:rFonts w:ascii="Arial" w:hAnsi="Arial" w:cs="Arial"/>
                <w:sz w:val="20"/>
              </w:rPr>
              <w:t xml:space="preserve"> in 20</w:t>
            </w:r>
            <w:r w:rsidR="002E09C3" w:rsidRPr="00B7614E">
              <w:rPr>
                <w:rFonts w:ascii="Arial" w:hAnsi="Arial" w:cs="Arial"/>
                <w:sz w:val="20"/>
              </w:rPr>
              <w:t>21</w:t>
            </w:r>
          </w:p>
        </w:tc>
      </w:tr>
      <w:tr w:rsidR="00A53398" w:rsidRPr="00A2550B" w14:paraId="34BA39C0" w14:textId="77777777" w:rsidTr="00A53398">
        <w:tc>
          <w:tcPr>
            <w:tcW w:w="4336" w:type="dxa"/>
            <w:vAlign w:val="bottom"/>
          </w:tcPr>
          <w:p w14:paraId="75F56136" w14:textId="77777777" w:rsidR="00A53398" w:rsidRPr="00B7614E" w:rsidRDefault="00A53398" w:rsidP="00A53398">
            <w:pPr>
              <w:rPr>
                <w:rFonts w:ascii="Arial" w:hAnsi="Arial" w:cs="Arial"/>
                <w:sz w:val="20"/>
              </w:rPr>
            </w:pPr>
            <w:r w:rsidRPr="00B7614E">
              <w:rPr>
                <w:rFonts w:ascii="Arial" w:hAnsi="Arial" w:cs="Arial"/>
                <w:sz w:val="20"/>
              </w:rPr>
              <w:t>Revenues ($MM, 2 years prior)</w:t>
            </w:r>
          </w:p>
        </w:tc>
        <w:tc>
          <w:tcPr>
            <w:tcW w:w="4294" w:type="dxa"/>
            <w:shd w:val="clear" w:color="auto" w:fill="FFFF99"/>
          </w:tcPr>
          <w:p w14:paraId="619F3B7E" w14:textId="02D02777" w:rsidR="00A53398" w:rsidRPr="00B7614E" w:rsidRDefault="0043255D" w:rsidP="00A53398">
            <w:pPr>
              <w:rPr>
                <w:rFonts w:ascii="Arial" w:hAnsi="Arial" w:cs="Arial"/>
                <w:sz w:val="20"/>
              </w:rPr>
            </w:pPr>
            <w:r>
              <w:rPr>
                <w:rFonts w:ascii="Arial" w:hAnsi="Arial" w:cs="Arial"/>
                <w:sz w:val="20"/>
              </w:rPr>
              <w:t>$</w:t>
            </w:r>
            <w:r w:rsidR="00A53398" w:rsidRPr="00B7614E">
              <w:rPr>
                <w:rFonts w:ascii="Arial" w:hAnsi="Arial" w:cs="Arial"/>
                <w:sz w:val="20"/>
              </w:rPr>
              <w:t>1.</w:t>
            </w:r>
            <w:r w:rsidR="004E5F85" w:rsidRPr="00B7614E">
              <w:rPr>
                <w:rFonts w:ascii="Arial" w:hAnsi="Arial" w:cs="Arial"/>
                <w:sz w:val="20"/>
              </w:rPr>
              <w:t>307</w:t>
            </w:r>
            <w:r w:rsidR="00326B41" w:rsidRPr="00B7614E">
              <w:rPr>
                <w:rFonts w:ascii="Arial" w:hAnsi="Arial" w:cs="Arial"/>
                <w:sz w:val="20"/>
              </w:rPr>
              <w:t>B</w:t>
            </w:r>
            <w:r w:rsidR="00A53398" w:rsidRPr="00B7614E">
              <w:rPr>
                <w:rFonts w:ascii="Arial" w:hAnsi="Arial" w:cs="Arial"/>
                <w:sz w:val="20"/>
              </w:rPr>
              <w:t xml:space="preserve"> in 20</w:t>
            </w:r>
            <w:r w:rsidR="002E09C3" w:rsidRPr="00B7614E">
              <w:rPr>
                <w:rFonts w:ascii="Arial" w:hAnsi="Arial" w:cs="Arial"/>
                <w:sz w:val="20"/>
              </w:rPr>
              <w:t>20</w:t>
            </w:r>
          </w:p>
        </w:tc>
      </w:tr>
      <w:tr w:rsidR="00A53398" w:rsidRPr="00A2550B" w14:paraId="64B901A0" w14:textId="77777777" w:rsidTr="00A53398">
        <w:tc>
          <w:tcPr>
            <w:tcW w:w="4336" w:type="dxa"/>
            <w:vAlign w:val="bottom"/>
          </w:tcPr>
          <w:p w14:paraId="67464095" w14:textId="77777777" w:rsidR="00A53398" w:rsidRPr="00B7614E" w:rsidRDefault="00A53398" w:rsidP="00A53398">
            <w:pPr>
              <w:rPr>
                <w:rFonts w:ascii="Arial" w:hAnsi="Arial" w:cs="Arial"/>
                <w:sz w:val="20"/>
              </w:rPr>
            </w:pPr>
            <w:r w:rsidRPr="00B7614E">
              <w:rPr>
                <w:rFonts w:ascii="Arial" w:hAnsi="Arial" w:cs="Arial"/>
                <w:sz w:val="20"/>
              </w:rPr>
              <w:t>% Of Revenue from Indiana customers</w:t>
            </w:r>
          </w:p>
        </w:tc>
        <w:tc>
          <w:tcPr>
            <w:tcW w:w="4294" w:type="dxa"/>
            <w:shd w:val="clear" w:color="auto" w:fill="FFFF99"/>
          </w:tcPr>
          <w:p w14:paraId="0D287910" w14:textId="55F0087D" w:rsidR="00A53398" w:rsidRPr="00B7614E" w:rsidRDefault="00A53398" w:rsidP="00A53398">
            <w:pPr>
              <w:rPr>
                <w:rFonts w:ascii="Arial" w:hAnsi="Arial" w:cs="Arial"/>
                <w:sz w:val="20"/>
              </w:rPr>
            </w:pPr>
            <w:r w:rsidRPr="00B7614E">
              <w:rPr>
                <w:rFonts w:ascii="Arial" w:hAnsi="Arial" w:cs="Arial"/>
                <w:sz w:val="20"/>
              </w:rPr>
              <w:t>0.3% in 20</w:t>
            </w:r>
            <w:r w:rsidR="005F1B82" w:rsidRPr="00B7614E">
              <w:rPr>
                <w:rFonts w:ascii="Arial" w:hAnsi="Arial" w:cs="Arial"/>
                <w:sz w:val="20"/>
              </w:rPr>
              <w:t>21</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DE7CBA">
      <w:pPr>
        <w:widowControl/>
        <w:numPr>
          <w:ilvl w:val="1"/>
          <w:numId w:val="21"/>
        </w:numPr>
        <w:rPr>
          <w:rFonts w:asciiTheme="minorHAnsi" w:hAnsiTheme="minorHAnsi" w:cstheme="minorHAnsi"/>
          <w:b/>
        </w:rPr>
      </w:pPr>
      <w:bookmarkStart w:id="4"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021B8335" w14:textId="6B1A4203" w:rsidR="00A53398" w:rsidRPr="00B7614E" w:rsidRDefault="00A53398" w:rsidP="00A53398">
            <w:pPr>
              <w:rPr>
                <w:rFonts w:ascii="Arial" w:hAnsi="Arial" w:cs="Arial"/>
                <w:sz w:val="20"/>
                <w:szCs w:val="16"/>
              </w:rPr>
            </w:pPr>
            <w:r w:rsidRPr="00B7614E">
              <w:rPr>
                <w:rFonts w:ascii="Arial" w:hAnsi="Arial" w:cs="Arial"/>
                <w:sz w:val="20"/>
                <w:szCs w:val="16"/>
              </w:rPr>
              <w:t>Yes</w:t>
            </w:r>
            <w:r w:rsidR="00B65785">
              <w:rPr>
                <w:rFonts w:ascii="Arial" w:hAnsi="Arial" w:cs="Arial"/>
                <w:sz w:val="20"/>
                <w:szCs w:val="16"/>
              </w:rPr>
              <w:t>, Milliman has a formal disaster recovery plan</w:t>
            </w:r>
            <w:r w:rsidRPr="00B7614E">
              <w:rPr>
                <w:rFonts w:ascii="Arial" w:hAnsi="Arial" w:cs="Arial"/>
                <w:sz w:val="20"/>
                <w:szCs w:val="16"/>
              </w:rPr>
              <w:t xml:space="preserve">. Business continuity and disaster recovery are critical elements of Milliman’s strategy to safeguard client information and ensure timely service delivery. Milliman business units have disaster recovery programs that are regularly tested. Milliman’s wide area network has multiple points of redundancy to ensure prompt recovery of telecommunications services.  This includes but is not limited to a fully meshed network, multiple firewalls configured for high availability, and 24/7 support from Verizon. Each business unit develops its own disaster recovery plan according to the Milliman template for Disaster Recovery and addresses the specific needs and threats to that business unit’s location. Each business unit includes procedures in its plan for data backup and recovery, equipment recovery, and business restoration. Milliman’s business units can operate independently in the event of a business outage of another unit. </w:t>
            </w:r>
          </w:p>
          <w:p w14:paraId="7485374E" w14:textId="77777777" w:rsidR="00A53398" w:rsidRPr="00B7614E" w:rsidRDefault="00A53398" w:rsidP="00A53398">
            <w:pPr>
              <w:rPr>
                <w:rFonts w:ascii="Arial" w:hAnsi="Arial" w:cs="Arial"/>
                <w:sz w:val="20"/>
                <w:szCs w:val="16"/>
              </w:rPr>
            </w:pPr>
          </w:p>
          <w:p w14:paraId="27D4CA8A" w14:textId="77777777" w:rsidR="0000708C" w:rsidRDefault="00A53398" w:rsidP="00A53398">
            <w:pPr>
              <w:rPr>
                <w:rFonts w:ascii="Arial" w:hAnsi="Arial" w:cs="Arial"/>
                <w:sz w:val="20"/>
                <w:szCs w:val="16"/>
              </w:rPr>
            </w:pPr>
            <w:r w:rsidRPr="00B7614E">
              <w:rPr>
                <w:rFonts w:ascii="Arial" w:hAnsi="Arial" w:cs="Arial"/>
                <w:sz w:val="20"/>
                <w:szCs w:val="16"/>
              </w:rPr>
              <w:t>In order to safeguard protected health information, we do not typically share the contents of our disaster recovery plan.  This is a very technical document and disclosure in the public domain could compromise its integrity.  We would be happy to meet with the state and review the details of the plan if requested.</w:t>
            </w:r>
          </w:p>
          <w:p w14:paraId="4E3A91C0" w14:textId="0E5D2EB0" w:rsidR="0000708C" w:rsidRPr="00B7614E" w:rsidRDefault="0000708C" w:rsidP="00A53398">
            <w:pPr>
              <w:rPr>
                <w:rFonts w:ascii="Arial" w:hAnsi="Arial" w:cs="Arial"/>
                <w:sz w:val="20"/>
                <w:szCs w:val="16"/>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800F84" w:rsidRDefault="0000708C" w:rsidP="00DE7CBA">
      <w:pPr>
        <w:widowControl/>
        <w:numPr>
          <w:ilvl w:val="1"/>
          <w:numId w:val="21"/>
        </w:numPr>
        <w:rPr>
          <w:rFonts w:asciiTheme="minorHAnsi" w:hAnsiTheme="minorHAnsi" w:cstheme="minorHAnsi"/>
          <w:b/>
        </w:rPr>
      </w:pPr>
      <w:bookmarkStart w:id="5" w:name="_Hlk76536922"/>
      <w:r w:rsidRPr="00251750">
        <w:rPr>
          <w:rFonts w:asciiTheme="minorHAnsi" w:hAnsiTheme="minorHAnsi" w:cstheme="minorHAnsi"/>
        </w:rPr>
        <w:t>What is your company’s technology and process for securing any State information that is maintained within your company?</w:t>
      </w:r>
      <w:bookmarkEnd w:id="5"/>
    </w:p>
    <w:p w14:paraId="058CD73E" w14:textId="77777777" w:rsidR="00800F84" w:rsidRPr="00251750" w:rsidRDefault="00800F84" w:rsidP="00800F84">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2C8CFB88" w14:textId="6E970F53" w:rsidR="00395561" w:rsidRPr="009348D3" w:rsidRDefault="00A53398" w:rsidP="00395561">
            <w:pPr>
              <w:rPr>
                <w:rFonts w:ascii="Arial" w:hAnsi="Arial" w:cs="Arial"/>
                <w:sz w:val="20"/>
              </w:rPr>
            </w:pPr>
            <w:r w:rsidRPr="009348D3">
              <w:rPr>
                <w:rFonts w:ascii="Arial" w:hAnsi="Arial" w:cs="Arial"/>
                <w:sz w:val="20"/>
              </w:rPr>
              <w:t xml:space="preserve">Milliman takes its responsibility to protect electronic data seriously. Milliman has a comprehensive information security policy based on the ISO 27001 risk management framework. </w:t>
            </w:r>
            <w:r w:rsidR="00395561" w:rsidRPr="009348D3">
              <w:rPr>
                <w:rFonts w:ascii="Arial" w:hAnsi="Arial" w:cs="Arial"/>
                <w:sz w:val="20"/>
              </w:rPr>
              <w:t>In 2021, Milliman achieved HITRUST certification. Considered the gold standard for data security in the healthcare sector, the HITRUST framework leverages numerous standards including NIST, ISO, HIPAA and COBIT. By meeting the stringent requirements of HITRUST certification, clients can be confident that Milliman is protecting their sensitive, valuable, or highly regulated data.</w:t>
            </w:r>
          </w:p>
          <w:p w14:paraId="14875056" w14:textId="77777777" w:rsidR="00492638" w:rsidRPr="009348D3" w:rsidRDefault="00492638" w:rsidP="00492638">
            <w:pPr>
              <w:rPr>
                <w:rFonts w:ascii="Arial" w:hAnsi="Arial" w:cs="Arial"/>
                <w:sz w:val="20"/>
              </w:rPr>
            </w:pPr>
          </w:p>
          <w:p w14:paraId="22ED89AD" w14:textId="77777777" w:rsidR="001B22AB" w:rsidRPr="009348D3" w:rsidRDefault="00A53398" w:rsidP="00492638">
            <w:pPr>
              <w:rPr>
                <w:rFonts w:ascii="Arial" w:hAnsi="Arial" w:cs="Arial"/>
                <w:sz w:val="20"/>
              </w:rPr>
            </w:pPr>
            <w:r w:rsidRPr="009348D3">
              <w:rPr>
                <w:rFonts w:ascii="Arial" w:hAnsi="Arial" w:cs="Arial"/>
                <w:sz w:val="20"/>
              </w:rPr>
              <w:t xml:space="preserve">Milliman has </w:t>
            </w:r>
            <w:r w:rsidR="001B22AB" w:rsidRPr="009348D3">
              <w:rPr>
                <w:rFonts w:ascii="Arial" w:hAnsi="Arial" w:cs="Arial"/>
                <w:sz w:val="20"/>
              </w:rPr>
              <w:t xml:space="preserve">also </w:t>
            </w:r>
            <w:r w:rsidRPr="009348D3">
              <w:rPr>
                <w:rFonts w:ascii="Arial" w:hAnsi="Arial" w:cs="Arial"/>
                <w:sz w:val="20"/>
              </w:rPr>
              <w:t xml:space="preserve">implemented a number of layered controls and safeguards, including administrative policies and procedures and automated systems. These controls are employed in a defense in depth arrangement to secure electronic information stored on our systems. Administrative controls include staff awareness and local involvement in security administration. Every Milliman employee signs Milliman’s Employee Trade Secret and Client </w:t>
            </w:r>
            <w:r w:rsidRPr="009348D3">
              <w:rPr>
                <w:rFonts w:ascii="Arial" w:hAnsi="Arial" w:cs="Arial"/>
                <w:sz w:val="20"/>
              </w:rPr>
              <w:lastRenderedPageBreak/>
              <w:t>Information Agreement. Access to every Milliman office is monitored and key network equipment is secured. Security incidents are promptly reported to management, including the chief legal officer and information security officer.</w:t>
            </w:r>
            <w:r w:rsidR="007B5701" w:rsidRPr="009348D3">
              <w:rPr>
                <w:rFonts w:ascii="Arial" w:hAnsi="Arial" w:cs="Arial"/>
                <w:sz w:val="20"/>
              </w:rPr>
              <w:t xml:space="preserve"> </w:t>
            </w:r>
            <w:r w:rsidRPr="009348D3">
              <w:rPr>
                <w:rFonts w:ascii="Arial" w:hAnsi="Arial" w:cs="Arial"/>
                <w:sz w:val="20"/>
              </w:rPr>
              <w:t xml:space="preserve">Electronic safeguards include preventive and detective controls. Milliman has contracted with a major telecommunication provider to maintain and manage a secure wide-area virtual private network. This network is protected by a layered system of firewalls and intrusion detection and prevention systems monitored 24/7 for security incidents by a third-party managed security services provider. </w:t>
            </w:r>
          </w:p>
          <w:p w14:paraId="35EB8E4C" w14:textId="77777777" w:rsidR="001B22AB" w:rsidRPr="009348D3" w:rsidRDefault="001B22AB" w:rsidP="00492638">
            <w:pPr>
              <w:rPr>
                <w:rFonts w:ascii="Arial" w:hAnsi="Arial" w:cs="Arial"/>
                <w:sz w:val="20"/>
              </w:rPr>
            </w:pPr>
          </w:p>
          <w:p w14:paraId="57485E79" w14:textId="77777777" w:rsidR="0000708C" w:rsidRDefault="00A53398" w:rsidP="00492638">
            <w:pPr>
              <w:rPr>
                <w:rFonts w:ascii="Arial" w:hAnsi="Arial" w:cs="Arial"/>
                <w:bCs/>
                <w:sz w:val="20"/>
              </w:rPr>
            </w:pPr>
            <w:r w:rsidRPr="009348D3">
              <w:rPr>
                <w:rFonts w:ascii="Arial" w:hAnsi="Arial" w:cs="Arial"/>
                <w:sz w:val="20"/>
              </w:rPr>
              <w:t>In addition, key telecommunication facilities are housed in vendor-secured facilities. The implementation of these controls is based on the requirements of the data being protected. Milliman’s controls include corrective procedures.  Like all networks, the Milliman network has experienced unsuccessful network attacks, viruses, and other malicious incidents. Milliman’s network administrators work with Corporate IT and our vendors to identify and intervene in these attacks. Using available utilities and reports, Milliman mitigates threats as they arise.</w:t>
            </w:r>
          </w:p>
          <w:p w14:paraId="6CCBFCB4" w14:textId="718D5D7C" w:rsidR="0000708C" w:rsidRPr="009348D3" w:rsidRDefault="0000708C" w:rsidP="00492638">
            <w:pPr>
              <w:rPr>
                <w:rFonts w:ascii="Arial" w:hAnsi="Arial" w:cs="Arial"/>
                <w:b/>
                <w:sz w:val="20"/>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DE7CBA">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p w14:paraId="59537CCD" w14:textId="77777777" w:rsidR="00331F48" w:rsidRPr="00251750" w:rsidRDefault="00331F48" w:rsidP="00906FA3">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663B944F" w14:textId="77777777" w:rsidR="00B65785" w:rsidRDefault="00A53398" w:rsidP="00A53398">
            <w:pPr>
              <w:rPr>
                <w:rFonts w:ascii="Arial" w:eastAsiaTheme="minorHAnsi" w:hAnsi="Arial" w:cs="Arial"/>
                <w:snapToGrid/>
                <w:sz w:val="20"/>
              </w:rPr>
            </w:pPr>
            <w:r w:rsidRPr="65EDB59F">
              <w:rPr>
                <w:rFonts w:ascii="Arial" w:eastAsiaTheme="minorEastAsia" w:hAnsi="Arial" w:cs="Arial"/>
                <w:snapToGrid/>
                <w:sz w:val="20"/>
              </w:rPr>
              <w:t xml:space="preserve">For over 25 years, Milliman has been a national leader in </w:t>
            </w:r>
            <w:r w:rsidR="008367E4" w:rsidRPr="65EDB59F">
              <w:rPr>
                <w:rFonts w:ascii="Arial" w:eastAsiaTheme="minorEastAsia" w:hAnsi="Arial" w:cs="Arial"/>
                <w:snapToGrid/>
                <w:sz w:val="20"/>
              </w:rPr>
              <w:t>healthcare</w:t>
            </w:r>
            <w:r w:rsidRPr="65EDB59F">
              <w:rPr>
                <w:rFonts w:ascii="Arial" w:eastAsiaTheme="minorEastAsia" w:hAnsi="Arial" w:cs="Arial"/>
                <w:snapToGrid/>
                <w:sz w:val="20"/>
              </w:rPr>
              <w:t xml:space="preserve"> consulting. With current contracts in over 20 states and </w:t>
            </w:r>
            <w:r w:rsidR="008367E4" w:rsidRPr="65EDB59F">
              <w:rPr>
                <w:rFonts w:ascii="Arial" w:eastAsiaTheme="minorEastAsia" w:hAnsi="Arial" w:cs="Arial"/>
                <w:snapToGrid/>
                <w:sz w:val="20"/>
              </w:rPr>
              <w:t>territories</w:t>
            </w:r>
            <w:r w:rsidRPr="65EDB59F">
              <w:rPr>
                <w:rFonts w:ascii="Arial" w:eastAsiaTheme="minorEastAsia" w:hAnsi="Arial" w:cs="Arial"/>
                <w:snapToGrid/>
                <w:sz w:val="20"/>
              </w:rPr>
              <w:t>, we provide comprehensive and coordinated policy development, financing strategy, and actuarial consulting to help our state clients succeed. Milliman’s highly knowledgeable team and strong cross-functional structure has enabled us to successfully assist states across the country in meeting their goals.</w:t>
            </w:r>
            <w:r w:rsidR="00940CA1" w:rsidRPr="65EDB59F">
              <w:rPr>
                <w:rFonts w:ascii="Arial" w:eastAsiaTheme="minorEastAsia" w:hAnsi="Arial" w:cs="Arial"/>
                <w:sz w:val="20"/>
              </w:rPr>
              <w:t xml:space="preserve"> </w:t>
            </w:r>
          </w:p>
          <w:p w14:paraId="4F1B8C11" w14:textId="77777777" w:rsidR="00B65785" w:rsidRDefault="00B65785" w:rsidP="00A53398">
            <w:pPr>
              <w:rPr>
                <w:rFonts w:ascii="Arial" w:eastAsiaTheme="minorHAnsi" w:hAnsi="Arial" w:cs="Arial"/>
                <w:snapToGrid/>
                <w:sz w:val="20"/>
              </w:rPr>
            </w:pPr>
          </w:p>
          <w:p w14:paraId="6FE298CD" w14:textId="13E84427" w:rsidR="0009502C" w:rsidRDefault="008511C1" w:rsidP="00A53398">
            <w:pPr>
              <w:rPr>
                <w:rFonts w:ascii="Arial" w:eastAsia="Calibri" w:hAnsi="Arial" w:cs="Arial"/>
                <w:noProof/>
                <w:snapToGrid/>
                <w:sz w:val="20"/>
              </w:rPr>
            </w:pPr>
            <w:r w:rsidRPr="65EDB59F">
              <w:rPr>
                <w:rFonts w:ascii="Arial" w:eastAsiaTheme="minorEastAsia" w:hAnsi="Arial" w:cs="Arial"/>
                <w:sz w:val="20"/>
              </w:rPr>
              <w:t xml:space="preserve">As detailed in Attachment F, </w:t>
            </w:r>
            <w:r w:rsidR="00237CB2">
              <w:rPr>
                <w:rFonts w:ascii="Arial" w:eastAsiaTheme="minorHAnsi" w:hAnsi="Arial" w:cs="Arial"/>
                <w:snapToGrid/>
                <w:sz w:val="20"/>
              </w:rPr>
              <w:t>our experience</w:t>
            </w:r>
            <w:r w:rsidR="00BA6522" w:rsidRPr="65EDB59F">
              <w:rPr>
                <w:rFonts w:ascii="Arial" w:eastAsiaTheme="minorEastAsia" w:hAnsi="Arial" w:cs="Arial"/>
                <w:sz w:val="20"/>
              </w:rPr>
              <w:t xml:space="preserve"> includes significant experience </w:t>
            </w:r>
            <w:r w:rsidR="00482FD8" w:rsidRPr="65EDB59F">
              <w:rPr>
                <w:rFonts w:ascii="Arial" w:eastAsiaTheme="minorEastAsia" w:hAnsi="Arial" w:cs="Arial"/>
                <w:sz w:val="20"/>
              </w:rPr>
              <w:t xml:space="preserve">supporting a variety of behavioral health initiatives in states on issues relating to coverage and access, workforce, </w:t>
            </w:r>
            <w:r w:rsidR="00E860FF" w:rsidRPr="65EDB59F">
              <w:rPr>
                <w:rFonts w:ascii="Arial" w:eastAsiaTheme="minorEastAsia" w:hAnsi="Arial" w:cs="Arial"/>
                <w:sz w:val="20"/>
              </w:rPr>
              <w:t>treatment,</w:t>
            </w:r>
            <w:r w:rsidR="00102DF0" w:rsidRPr="65EDB59F">
              <w:rPr>
                <w:rFonts w:ascii="Arial" w:eastAsiaTheme="minorEastAsia" w:hAnsi="Arial" w:cs="Arial"/>
                <w:sz w:val="20"/>
              </w:rPr>
              <w:t xml:space="preserve"> and care delivery models, amongst others.</w:t>
            </w:r>
            <w:r w:rsidR="00B65785" w:rsidRPr="65EDB59F">
              <w:rPr>
                <w:rFonts w:ascii="Arial" w:eastAsiaTheme="minorEastAsia" w:hAnsi="Arial" w:cs="Arial"/>
                <w:sz w:val="20"/>
              </w:rPr>
              <w:t xml:space="preserve"> </w:t>
            </w:r>
            <w:r w:rsidR="0017627E">
              <w:rPr>
                <w:rFonts w:ascii="Arial" w:eastAsiaTheme="minorEastAsia" w:hAnsi="Arial" w:cs="Arial"/>
                <w:sz w:val="20"/>
              </w:rPr>
              <w:t>Our behavioral health policy</w:t>
            </w:r>
            <w:r w:rsidR="00CA0E43">
              <w:rPr>
                <w:rFonts w:ascii="Arial" w:eastAsiaTheme="minorEastAsia" w:hAnsi="Arial" w:cs="Arial"/>
                <w:sz w:val="20"/>
              </w:rPr>
              <w:t xml:space="preserve"> work has spanned multiple types of state government agencies, including state Medicaid agencies, departments of insurance, and behavioral health divisions</w:t>
            </w:r>
            <w:r w:rsidR="0017627E">
              <w:rPr>
                <w:rFonts w:ascii="Arial" w:eastAsiaTheme="minorEastAsia" w:hAnsi="Arial" w:cs="Arial"/>
                <w:sz w:val="20"/>
              </w:rPr>
              <w:t>, among others</w:t>
            </w:r>
            <w:r w:rsidR="00CA0E43">
              <w:rPr>
                <w:rFonts w:ascii="Arial" w:eastAsiaTheme="minorEastAsia" w:hAnsi="Arial" w:cs="Arial"/>
                <w:sz w:val="20"/>
              </w:rPr>
              <w:t>.</w:t>
            </w:r>
            <w:r w:rsidR="0017627E">
              <w:rPr>
                <w:rFonts w:ascii="Arial" w:eastAsiaTheme="minorEastAsia" w:hAnsi="Arial" w:cs="Arial"/>
                <w:sz w:val="20"/>
              </w:rPr>
              <w:t xml:space="preserve"> The breadth of this experience across multiple agency types has given us broad exposure to </w:t>
            </w:r>
            <w:r w:rsidR="00A35621">
              <w:rPr>
                <w:rFonts w:ascii="Arial" w:eastAsiaTheme="minorEastAsia" w:hAnsi="Arial" w:cs="Arial"/>
                <w:sz w:val="20"/>
              </w:rPr>
              <w:t xml:space="preserve">statutes and </w:t>
            </w:r>
            <w:r w:rsidR="0017627E">
              <w:rPr>
                <w:rFonts w:ascii="Arial" w:eastAsiaTheme="minorEastAsia" w:hAnsi="Arial" w:cs="Arial"/>
                <w:sz w:val="20"/>
              </w:rPr>
              <w:t>regulat</w:t>
            </w:r>
            <w:r w:rsidR="00A35621">
              <w:rPr>
                <w:rFonts w:ascii="Arial" w:eastAsiaTheme="minorEastAsia" w:hAnsi="Arial" w:cs="Arial"/>
                <w:sz w:val="20"/>
              </w:rPr>
              <w:t xml:space="preserve">ions </w:t>
            </w:r>
            <w:r w:rsidR="00E93261">
              <w:rPr>
                <w:rFonts w:ascii="Arial" w:eastAsiaTheme="minorEastAsia" w:hAnsi="Arial" w:cs="Arial"/>
                <w:sz w:val="20"/>
              </w:rPr>
              <w:t>for this subject</w:t>
            </w:r>
            <w:r w:rsidR="000B48B8">
              <w:rPr>
                <w:rFonts w:ascii="Arial" w:eastAsiaTheme="minorEastAsia" w:hAnsi="Arial" w:cs="Arial"/>
                <w:sz w:val="20"/>
              </w:rPr>
              <w:t xml:space="preserve">, in addition to an appreciation for the types of issues </w:t>
            </w:r>
            <w:r w:rsidR="00B32150">
              <w:rPr>
                <w:rFonts w:ascii="Arial" w:eastAsiaTheme="minorEastAsia" w:hAnsi="Arial" w:cs="Arial"/>
                <w:sz w:val="20"/>
              </w:rPr>
              <w:t xml:space="preserve">often raised by stakeholders and </w:t>
            </w:r>
            <w:r w:rsidR="00F9365B">
              <w:rPr>
                <w:rFonts w:ascii="Arial" w:eastAsiaTheme="minorEastAsia" w:hAnsi="Arial" w:cs="Arial"/>
                <w:sz w:val="20"/>
              </w:rPr>
              <w:t xml:space="preserve">the necessary program components to serve </w:t>
            </w:r>
            <w:r w:rsidR="001706DA">
              <w:rPr>
                <w:rFonts w:ascii="Arial" w:eastAsiaTheme="minorEastAsia" w:hAnsi="Arial" w:cs="Arial"/>
                <w:sz w:val="20"/>
              </w:rPr>
              <w:t>consumers in need</w:t>
            </w:r>
            <w:r w:rsidR="00B268DE">
              <w:rPr>
                <w:rFonts w:ascii="Arial" w:eastAsiaTheme="minorEastAsia" w:hAnsi="Arial" w:cs="Arial"/>
                <w:sz w:val="20"/>
              </w:rPr>
              <w:t>.</w:t>
            </w:r>
          </w:p>
          <w:p w14:paraId="12DBE447" w14:textId="51D0F6CF" w:rsidR="0043255D" w:rsidRDefault="0043255D" w:rsidP="00A53398">
            <w:pPr>
              <w:rPr>
                <w:rFonts w:ascii="Arial" w:eastAsia="Calibri" w:hAnsi="Arial" w:cs="Arial"/>
                <w:snapToGrid/>
                <w:sz w:val="20"/>
              </w:rPr>
            </w:pPr>
          </w:p>
          <w:p w14:paraId="4035ACB8" w14:textId="2834A1CE" w:rsidR="00B65785" w:rsidRDefault="2B7812A0" w:rsidP="00A53398">
            <w:pPr>
              <w:rPr>
                <w:rFonts w:ascii="Arial" w:eastAsia="Calibri" w:hAnsi="Arial" w:cs="Arial"/>
                <w:noProof/>
                <w:snapToGrid/>
                <w:sz w:val="20"/>
              </w:rPr>
            </w:pPr>
            <w:r w:rsidRPr="65EDB59F">
              <w:rPr>
                <w:rFonts w:ascii="Arial" w:eastAsia="Calibri" w:hAnsi="Arial" w:cs="Arial"/>
                <w:noProof/>
                <w:sz w:val="20"/>
              </w:rPr>
              <w:t xml:space="preserve">In addition to our long history of serving states more generally, Milliman has been a longstanding consultant to the Indiana Family and Social Services Administration, with experience partnering with all of FSSA’s individuals divisions, including DMHA. Further, we have assembled a project team consisting of individuals who have direct state experience working with the State of Indiana, both as state employees and in a consulting role. </w:t>
            </w:r>
            <w:r w:rsidR="00B65785">
              <w:rPr>
                <w:rFonts w:ascii="Arial" w:eastAsia="Calibri" w:hAnsi="Arial" w:cs="Arial"/>
                <w:noProof/>
                <w:snapToGrid/>
                <w:sz w:val="20"/>
              </w:rPr>
              <w:t xml:space="preserve">While we provide a wide range of healthcare consulting services to these states, our work in many of these state has included projects focused specifically on behavioral health and substance abuse treatment, from program design and implementation to regulatory analysis, assistance to obtain grants or federal authorities, and evaluations of access and quality outcomes. Throughout our history, Milliman’s work has often focused on first-in-kind program designs, helping states innovate to better serve consumers or encourage additional providers to join their programs through new funding mechanisms or streamlined administrative processes. </w:t>
            </w:r>
          </w:p>
          <w:p w14:paraId="0F1BAB51" w14:textId="77777777" w:rsidR="0043255D" w:rsidRDefault="0043255D" w:rsidP="00A53398">
            <w:pPr>
              <w:rPr>
                <w:rFonts w:ascii="Arial" w:eastAsia="Calibri" w:hAnsi="Arial" w:cs="Arial"/>
                <w:noProof/>
                <w:sz w:val="20"/>
              </w:rPr>
            </w:pPr>
          </w:p>
          <w:p w14:paraId="02618B8D" w14:textId="3A0A4DCE" w:rsidR="0043255D" w:rsidRDefault="00641540" w:rsidP="00A53398">
            <w:pPr>
              <w:rPr>
                <w:rFonts w:ascii="Arial" w:eastAsia="Calibri" w:hAnsi="Arial" w:cs="Arial"/>
                <w:noProof/>
                <w:sz w:val="20"/>
              </w:rPr>
            </w:pPr>
            <w:r w:rsidRPr="65EDB59F">
              <w:rPr>
                <w:rFonts w:ascii="Arial" w:eastAsia="Calibri" w:hAnsi="Arial" w:cs="Arial"/>
                <w:noProof/>
                <w:sz w:val="20"/>
              </w:rPr>
              <w:t>The</w:t>
            </w:r>
            <w:r w:rsidR="00A53398" w:rsidRPr="65EDB59F">
              <w:rPr>
                <w:rFonts w:ascii="Arial" w:eastAsia="Calibri" w:hAnsi="Arial" w:cs="Arial"/>
                <w:noProof/>
                <w:sz w:val="20"/>
              </w:rPr>
              <w:t xml:space="preserve"> depth and breadth of </w:t>
            </w:r>
            <w:r w:rsidR="0008133F" w:rsidRPr="65EDB59F">
              <w:rPr>
                <w:rFonts w:ascii="Arial" w:eastAsia="Calibri" w:hAnsi="Arial" w:cs="Arial"/>
                <w:noProof/>
                <w:sz w:val="20"/>
              </w:rPr>
              <w:t>our state experience</w:t>
            </w:r>
            <w:r w:rsidR="00A53398" w:rsidRPr="65EDB59F">
              <w:rPr>
                <w:rFonts w:ascii="Arial" w:eastAsia="Calibri" w:hAnsi="Arial" w:cs="Arial"/>
                <w:noProof/>
                <w:sz w:val="20"/>
              </w:rPr>
              <w:t xml:space="preserve"> paired with our robust team of policy professionals makes Milliman uniquely qualified to provide Indiana with the high quality and insightful expertise necessary for the</w:t>
            </w:r>
            <w:r w:rsidR="009E0C5C" w:rsidRPr="65EDB59F">
              <w:rPr>
                <w:rFonts w:ascii="Arial" w:eastAsia="Calibri" w:hAnsi="Arial" w:cs="Arial"/>
                <w:noProof/>
                <w:sz w:val="20"/>
              </w:rPr>
              <w:t xml:space="preserve"> Administrative Code Assessment</w:t>
            </w:r>
            <w:r w:rsidR="00A53398" w:rsidRPr="65EDB59F">
              <w:rPr>
                <w:rFonts w:ascii="Arial" w:eastAsia="Calibri" w:hAnsi="Arial" w:cs="Arial"/>
                <w:noProof/>
                <w:sz w:val="20"/>
              </w:rPr>
              <w:t>.</w:t>
            </w:r>
          </w:p>
          <w:p w14:paraId="284DC28C" w14:textId="77777777" w:rsidR="00F234D1" w:rsidRDefault="00F234D1" w:rsidP="00A53398">
            <w:pPr>
              <w:rPr>
                <w:rFonts w:eastAsia="Calibri"/>
                <w:noProof/>
                <w:szCs w:val="24"/>
              </w:rPr>
            </w:pPr>
          </w:p>
          <w:p w14:paraId="4288105F" w14:textId="78E8D5CA" w:rsidR="00F234D1" w:rsidRDefault="00F234D1" w:rsidP="00A53398">
            <w:pPr>
              <w:rPr>
                <w:rFonts w:eastAsia="Calibri"/>
                <w:szCs w:val="24"/>
              </w:rPr>
            </w:pPr>
            <w:r>
              <w:rPr>
                <w:rFonts w:ascii="Arial" w:eastAsia="Calibri" w:hAnsi="Arial" w:cs="Arial"/>
                <w:noProof/>
                <w:snapToGrid/>
                <w:sz w:val="20"/>
              </w:rPr>
              <w:t>Current Milliman state clients (and the duration of our service to these states) are listed below.</w:t>
            </w:r>
          </w:p>
          <w:p w14:paraId="11F6B906" w14:textId="77777777" w:rsidR="0043255D" w:rsidRDefault="0043255D" w:rsidP="00A53398">
            <w:pPr>
              <w:rPr>
                <w:rFonts w:ascii="Arial" w:eastAsia="Calibri" w:hAnsi="Arial" w:cs="Arial"/>
                <w:noProof/>
                <w:sz w:val="20"/>
              </w:rPr>
            </w:pPr>
          </w:p>
          <w:tbl>
            <w:tblPr>
              <w:tblStyle w:val="TableGrid"/>
              <w:tblpPr w:leftFromText="180" w:rightFromText="180" w:vertAnchor="text" w:horzAnchor="margin" w:tblpY="-161"/>
              <w:tblOverlap w:val="never"/>
              <w:tblW w:w="0" w:type="auto"/>
              <w:tblLook w:val="04A0" w:firstRow="1" w:lastRow="0" w:firstColumn="1" w:lastColumn="0" w:noHBand="0" w:noVBand="1"/>
            </w:tblPr>
            <w:tblGrid>
              <w:gridCol w:w="1710"/>
              <w:gridCol w:w="1800"/>
            </w:tblGrid>
            <w:tr w:rsidR="00F234D1" w:rsidRPr="009348D3" w14:paraId="254F8EFB" w14:textId="77777777" w:rsidTr="00E860FF">
              <w:trPr>
                <w:cantSplit/>
                <w:trHeight w:val="413"/>
              </w:trPr>
              <w:tc>
                <w:tcPr>
                  <w:tcW w:w="3510" w:type="dxa"/>
                  <w:gridSpan w:val="2"/>
                  <w:shd w:val="clear" w:color="auto" w:fill="0A4977"/>
                  <w:vAlign w:val="center"/>
                </w:tcPr>
                <w:p w14:paraId="66C8180D" w14:textId="77777777" w:rsidR="00F234D1" w:rsidRPr="009348D3" w:rsidRDefault="00F234D1" w:rsidP="00F234D1">
                  <w:pPr>
                    <w:widowControl/>
                    <w:spacing w:line="259" w:lineRule="auto"/>
                    <w:jc w:val="center"/>
                    <w:rPr>
                      <w:rFonts w:ascii="Arial" w:eastAsia="Arial" w:hAnsi="Arial" w:cs="Arial"/>
                      <w:b/>
                      <w:bCs/>
                      <w:sz w:val="20"/>
                    </w:rPr>
                  </w:pPr>
                  <w:r w:rsidRPr="009348D3">
                    <w:rPr>
                      <w:rFonts w:ascii="Arial" w:eastAsia="Arial" w:hAnsi="Arial" w:cs="Arial"/>
                      <w:b/>
                      <w:bCs/>
                      <w:sz w:val="20"/>
                    </w:rPr>
                    <w:t>Current Milliman State Clients</w:t>
                  </w:r>
                </w:p>
              </w:tc>
            </w:tr>
            <w:tr w:rsidR="00F234D1" w:rsidRPr="009348D3" w14:paraId="7D6ADE98" w14:textId="77777777" w:rsidTr="00E860FF">
              <w:trPr>
                <w:trHeight w:val="283"/>
              </w:trPr>
              <w:tc>
                <w:tcPr>
                  <w:tcW w:w="1710" w:type="dxa"/>
                  <w:shd w:val="clear" w:color="auto" w:fill="0081E3"/>
                  <w:vAlign w:val="center"/>
                </w:tcPr>
                <w:p w14:paraId="782CE801" w14:textId="77777777" w:rsidR="00F234D1" w:rsidRPr="009348D3" w:rsidRDefault="00F234D1" w:rsidP="00F234D1">
                  <w:pPr>
                    <w:widowControl/>
                    <w:spacing w:line="259" w:lineRule="auto"/>
                    <w:jc w:val="center"/>
                    <w:rPr>
                      <w:rFonts w:ascii="Arial" w:eastAsia="Arial" w:hAnsi="Arial" w:cs="Arial"/>
                      <w:b/>
                      <w:bCs/>
                      <w:color w:val="FFFFFF" w:themeColor="background1"/>
                      <w:sz w:val="20"/>
                    </w:rPr>
                  </w:pPr>
                  <w:r w:rsidRPr="009348D3">
                    <w:rPr>
                      <w:rFonts w:ascii="Arial" w:eastAsia="Arial" w:hAnsi="Arial" w:cs="Arial"/>
                      <w:b/>
                      <w:bCs/>
                      <w:color w:val="FFFFFF" w:themeColor="background1"/>
                      <w:sz w:val="20"/>
                    </w:rPr>
                    <w:t>State</w:t>
                  </w:r>
                </w:p>
              </w:tc>
              <w:tc>
                <w:tcPr>
                  <w:tcW w:w="1800" w:type="dxa"/>
                  <w:shd w:val="clear" w:color="auto" w:fill="0081E3"/>
                  <w:vAlign w:val="center"/>
                </w:tcPr>
                <w:p w14:paraId="6DCD70BC" w14:textId="77777777" w:rsidR="00F234D1" w:rsidRPr="009348D3" w:rsidRDefault="00F234D1" w:rsidP="00F234D1">
                  <w:pPr>
                    <w:widowControl/>
                    <w:spacing w:line="259" w:lineRule="auto"/>
                    <w:jc w:val="center"/>
                    <w:rPr>
                      <w:rFonts w:ascii="Arial" w:eastAsia="Arial" w:hAnsi="Arial" w:cs="Arial"/>
                      <w:b/>
                      <w:bCs/>
                      <w:color w:val="FFFFFF" w:themeColor="background1"/>
                      <w:sz w:val="20"/>
                    </w:rPr>
                  </w:pPr>
                  <w:r w:rsidRPr="009348D3">
                    <w:rPr>
                      <w:rFonts w:ascii="Arial" w:eastAsia="Arial" w:hAnsi="Arial" w:cs="Arial"/>
                      <w:b/>
                      <w:bCs/>
                      <w:color w:val="FFFFFF" w:themeColor="background1"/>
                      <w:sz w:val="20"/>
                    </w:rPr>
                    <w:t>Years of Service</w:t>
                  </w:r>
                </w:p>
              </w:tc>
            </w:tr>
            <w:tr w:rsidR="00F234D1" w:rsidRPr="009348D3" w14:paraId="4DA9998A" w14:textId="77777777" w:rsidTr="00E860FF">
              <w:tc>
                <w:tcPr>
                  <w:tcW w:w="1710" w:type="dxa"/>
                  <w:shd w:val="clear" w:color="auto" w:fill="FFFFFF" w:themeFill="background1"/>
                </w:tcPr>
                <w:p w14:paraId="07EA68A1"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Alaska</w:t>
                  </w:r>
                </w:p>
              </w:tc>
              <w:tc>
                <w:tcPr>
                  <w:tcW w:w="1800" w:type="dxa"/>
                  <w:shd w:val="clear" w:color="auto" w:fill="FFFFFF" w:themeFill="background1"/>
                </w:tcPr>
                <w:p w14:paraId="46BCA242"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6 years</w:t>
                  </w:r>
                </w:p>
              </w:tc>
            </w:tr>
            <w:tr w:rsidR="00F234D1" w:rsidRPr="009348D3" w14:paraId="1236AF59" w14:textId="77777777" w:rsidTr="00E860FF">
              <w:tc>
                <w:tcPr>
                  <w:tcW w:w="1710" w:type="dxa"/>
                  <w:shd w:val="clear" w:color="auto" w:fill="FFFFFF" w:themeFill="background1"/>
                </w:tcPr>
                <w:p w14:paraId="7E741B9F"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Arkansas</w:t>
                  </w:r>
                </w:p>
              </w:tc>
              <w:tc>
                <w:tcPr>
                  <w:tcW w:w="1800" w:type="dxa"/>
                  <w:shd w:val="clear" w:color="auto" w:fill="FFFFFF" w:themeFill="background1"/>
                </w:tcPr>
                <w:p w14:paraId="47549075"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4 years</w:t>
                  </w:r>
                </w:p>
              </w:tc>
            </w:tr>
            <w:tr w:rsidR="00F234D1" w:rsidRPr="009348D3" w14:paraId="072EEF36" w14:textId="77777777" w:rsidTr="00E860FF">
              <w:tc>
                <w:tcPr>
                  <w:tcW w:w="1710" w:type="dxa"/>
                  <w:shd w:val="clear" w:color="auto" w:fill="FFFFFF" w:themeFill="background1"/>
                </w:tcPr>
                <w:p w14:paraId="56F1B0D0"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Florida</w:t>
                  </w:r>
                </w:p>
              </w:tc>
              <w:tc>
                <w:tcPr>
                  <w:tcW w:w="1800" w:type="dxa"/>
                  <w:shd w:val="clear" w:color="auto" w:fill="FFFFFF" w:themeFill="background1"/>
                </w:tcPr>
                <w:p w14:paraId="11190058"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23 years</w:t>
                  </w:r>
                </w:p>
              </w:tc>
            </w:tr>
            <w:tr w:rsidR="00F234D1" w:rsidRPr="009348D3" w14:paraId="708BECA9" w14:textId="77777777" w:rsidTr="00E860FF">
              <w:tc>
                <w:tcPr>
                  <w:tcW w:w="1710" w:type="dxa"/>
                  <w:shd w:val="clear" w:color="auto" w:fill="FFFFFF" w:themeFill="background1"/>
                </w:tcPr>
                <w:p w14:paraId="2E9BA9C8"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Hawaii</w:t>
                  </w:r>
                </w:p>
              </w:tc>
              <w:tc>
                <w:tcPr>
                  <w:tcW w:w="1800" w:type="dxa"/>
                  <w:shd w:val="clear" w:color="auto" w:fill="FFFFFF" w:themeFill="background1"/>
                </w:tcPr>
                <w:p w14:paraId="24CD3C38"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17 years</w:t>
                  </w:r>
                </w:p>
              </w:tc>
            </w:tr>
            <w:tr w:rsidR="00F234D1" w:rsidRPr="009348D3" w14:paraId="7627B6A0" w14:textId="77777777" w:rsidTr="00E860FF">
              <w:tc>
                <w:tcPr>
                  <w:tcW w:w="1710" w:type="dxa"/>
                  <w:shd w:val="clear" w:color="auto" w:fill="FFFFFF" w:themeFill="background1"/>
                </w:tcPr>
                <w:p w14:paraId="4302F1B3"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Idaho</w:t>
                  </w:r>
                </w:p>
              </w:tc>
              <w:tc>
                <w:tcPr>
                  <w:tcW w:w="1800" w:type="dxa"/>
                  <w:shd w:val="clear" w:color="auto" w:fill="FFFFFF" w:themeFill="background1"/>
                </w:tcPr>
                <w:p w14:paraId="62FF45DA"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12 years</w:t>
                  </w:r>
                </w:p>
              </w:tc>
            </w:tr>
            <w:tr w:rsidR="00F234D1" w:rsidRPr="009348D3" w14:paraId="424459ED" w14:textId="77777777" w:rsidTr="00E860FF">
              <w:tc>
                <w:tcPr>
                  <w:tcW w:w="1710" w:type="dxa"/>
                  <w:shd w:val="clear" w:color="auto" w:fill="FFFFFF" w:themeFill="background1"/>
                </w:tcPr>
                <w:p w14:paraId="6C9610AF"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Illinois</w:t>
                  </w:r>
                </w:p>
              </w:tc>
              <w:tc>
                <w:tcPr>
                  <w:tcW w:w="1800" w:type="dxa"/>
                  <w:shd w:val="clear" w:color="auto" w:fill="FFFFFF" w:themeFill="background1"/>
                </w:tcPr>
                <w:p w14:paraId="540AED74"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24 years</w:t>
                  </w:r>
                </w:p>
              </w:tc>
            </w:tr>
            <w:tr w:rsidR="00F234D1" w:rsidRPr="009348D3" w14:paraId="2C74A9E3" w14:textId="77777777" w:rsidTr="00E860FF">
              <w:tc>
                <w:tcPr>
                  <w:tcW w:w="1710" w:type="dxa"/>
                  <w:shd w:val="clear" w:color="auto" w:fill="FFFFFF" w:themeFill="background1"/>
                </w:tcPr>
                <w:p w14:paraId="533AAA52"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Indiana</w:t>
                  </w:r>
                </w:p>
              </w:tc>
              <w:tc>
                <w:tcPr>
                  <w:tcW w:w="1800" w:type="dxa"/>
                  <w:shd w:val="clear" w:color="auto" w:fill="FFFFFF" w:themeFill="background1"/>
                </w:tcPr>
                <w:p w14:paraId="0CA4E1BC"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22 years</w:t>
                  </w:r>
                </w:p>
              </w:tc>
            </w:tr>
            <w:tr w:rsidR="00F234D1" w:rsidRPr="009348D3" w14:paraId="0F4BCEF4" w14:textId="77777777" w:rsidTr="00E860FF">
              <w:tc>
                <w:tcPr>
                  <w:tcW w:w="1710" w:type="dxa"/>
                  <w:shd w:val="clear" w:color="auto" w:fill="FFFFFF" w:themeFill="background1"/>
                </w:tcPr>
                <w:p w14:paraId="12A632F9"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Kentucky</w:t>
                  </w:r>
                </w:p>
              </w:tc>
              <w:tc>
                <w:tcPr>
                  <w:tcW w:w="1800" w:type="dxa"/>
                  <w:shd w:val="clear" w:color="auto" w:fill="FFFFFF" w:themeFill="background1"/>
                </w:tcPr>
                <w:p w14:paraId="0CFE3534"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2 years</w:t>
                  </w:r>
                </w:p>
              </w:tc>
            </w:tr>
            <w:tr w:rsidR="00F234D1" w:rsidRPr="009348D3" w14:paraId="20A4929D" w14:textId="77777777" w:rsidTr="00E860FF">
              <w:tc>
                <w:tcPr>
                  <w:tcW w:w="1710" w:type="dxa"/>
                  <w:shd w:val="clear" w:color="auto" w:fill="FFFFFF" w:themeFill="background1"/>
                </w:tcPr>
                <w:p w14:paraId="6A4F2FEB"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Michigan</w:t>
                  </w:r>
                </w:p>
              </w:tc>
              <w:tc>
                <w:tcPr>
                  <w:tcW w:w="1800" w:type="dxa"/>
                  <w:shd w:val="clear" w:color="auto" w:fill="FFFFFF" w:themeFill="background1"/>
                </w:tcPr>
                <w:p w14:paraId="7AEE3CEF"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25 years</w:t>
                  </w:r>
                </w:p>
              </w:tc>
            </w:tr>
            <w:tr w:rsidR="00F234D1" w:rsidRPr="009348D3" w14:paraId="0A67388E" w14:textId="77777777" w:rsidTr="00E860FF">
              <w:tc>
                <w:tcPr>
                  <w:tcW w:w="1710" w:type="dxa"/>
                  <w:shd w:val="clear" w:color="auto" w:fill="FFFFFF" w:themeFill="background1"/>
                </w:tcPr>
                <w:p w14:paraId="64995930"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Minnesota</w:t>
                  </w:r>
                </w:p>
              </w:tc>
              <w:tc>
                <w:tcPr>
                  <w:tcW w:w="1800" w:type="dxa"/>
                  <w:shd w:val="clear" w:color="auto" w:fill="FFFFFF" w:themeFill="background1"/>
                </w:tcPr>
                <w:p w14:paraId="69FF8391"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30 years</w:t>
                  </w:r>
                </w:p>
              </w:tc>
            </w:tr>
            <w:tr w:rsidR="00F234D1" w:rsidRPr="009348D3" w14:paraId="6FDAB875" w14:textId="77777777" w:rsidTr="00E860FF">
              <w:tc>
                <w:tcPr>
                  <w:tcW w:w="1710" w:type="dxa"/>
                  <w:shd w:val="clear" w:color="auto" w:fill="FFFFFF" w:themeFill="background1"/>
                </w:tcPr>
                <w:p w14:paraId="34F16220"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Mississippi</w:t>
                  </w:r>
                </w:p>
              </w:tc>
              <w:tc>
                <w:tcPr>
                  <w:tcW w:w="1800" w:type="dxa"/>
                  <w:shd w:val="clear" w:color="auto" w:fill="FFFFFF" w:themeFill="background1"/>
                </w:tcPr>
                <w:p w14:paraId="2B4E247E"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14 years</w:t>
                  </w:r>
                </w:p>
              </w:tc>
            </w:tr>
            <w:tr w:rsidR="00F234D1" w:rsidRPr="009348D3" w14:paraId="76F302E1" w14:textId="77777777" w:rsidTr="00E860FF">
              <w:tc>
                <w:tcPr>
                  <w:tcW w:w="1710" w:type="dxa"/>
                  <w:shd w:val="clear" w:color="auto" w:fill="FFFFFF" w:themeFill="background1"/>
                </w:tcPr>
                <w:p w14:paraId="34E353AB"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New Hampshire</w:t>
                  </w:r>
                </w:p>
              </w:tc>
              <w:tc>
                <w:tcPr>
                  <w:tcW w:w="1800" w:type="dxa"/>
                  <w:shd w:val="clear" w:color="auto" w:fill="FFFFFF" w:themeFill="background1"/>
                </w:tcPr>
                <w:p w14:paraId="100DA802"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19 years</w:t>
                  </w:r>
                </w:p>
              </w:tc>
            </w:tr>
            <w:tr w:rsidR="00F234D1" w:rsidRPr="009348D3" w14:paraId="5009A617" w14:textId="77777777" w:rsidTr="00E860FF">
              <w:tc>
                <w:tcPr>
                  <w:tcW w:w="1710" w:type="dxa"/>
                  <w:shd w:val="clear" w:color="auto" w:fill="FFFFFF" w:themeFill="background1"/>
                </w:tcPr>
                <w:p w14:paraId="63C26DBE"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Ohio</w:t>
                  </w:r>
                </w:p>
              </w:tc>
              <w:tc>
                <w:tcPr>
                  <w:tcW w:w="1800" w:type="dxa"/>
                  <w:shd w:val="clear" w:color="auto" w:fill="FFFFFF" w:themeFill="background1"/>
                </w:tcPr>
                <w:p w14:paraId="34F9038A"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11 years</w:t>
                  </w:r>
                </w:p>
              </w:tc>
            </w:tr>
            <w:tr w:rsidR="00F234D1" w:rsidRPr="009348D3" w14:paraId="571CA1BA" w14:textId="77777777" w:rsidTr="00E860FF">
              <w:tc>
                <w:tcPr>
                  <w:tcW w:w="1710" w:type="dxa"/>
                  <w:shd w:val="clear" w:color="auto" w:fill="FFFFFF" w:themeFill="background1"/>
                </w:tcPr>
                <w:p w14:paraId="1D359BD8"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Puerto Rico</w:t>
                  </w:r>
                </w:p>
              </w:tc>
              <w:tc>
                <w:tcPr>
                  <w:tcW w:w="1800" w:type="dxa"/>
                  <w:shd w:val="clear" w:color="auto" w:fill="FFFFFF" w:themeFill="background1"/>
                </w:tcPr>
                <w:p w14:paraId="2CA87EFE"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21 years</w:t>
                  </w:r>
                </w:p>
              </w:tc>
            </w:tr>
            <w:tr w:rsidR="00F234D1" w:rsidRPr="009348D3" w14:paraId="7DFE2D3C" w14:textId="77777777" w:rsidTr="00E860FF">
              <w:tc>
                <w:tcPr>
                  <w:tcW w:w="1710" w:type="dxa"/>
                  <w:shd w:val="clear" w:color="auto" w:fill="FFFFFF" w:themeFill="background1"/>
                </w:tcPr>
                <w:p w14:paraId="0075330B"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Rhode Island</w:t>
                  </w:r>
                </w:p>
              </w:tc>
              <w:tc>
                <w:tcPr>
                  <w:tcW w:w="1800" w:type="dxa"/>
                  <w:shd w:val="clear" w:color="auto" w:fill="FFFFFF" w:themeFill="background1"/>
                </w:tcPr>
                <w:p w14:paraId="2B33D1A3" w14:textId="6C3FB244"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 xml:space="preserve">3 </w:t>
                  </w:r>
                  <w:r w:rsidR="00E860FF" w:rsidRPr="009348D3">
                    <w:rPr>
                      <w:rFonts w:ascii="Arial" w:eastAsia="Arial" w:hAnsi="Arial" w:cs="Arial"/>
                      <w:sz w:val="20"/>
                    </w:rPr>
                    <w:t>years</w:t>
                  </w:r>
                </w:p>
              </w:tc>
            </w:tr>
            <w:tr w:rsidR="00F234D1" w:rsidRPr="009348D3" w14:paraId="67757B71" w14:textId="77777777" w:rsidTr="00E860FF">
              <w:tc>
                <w:tcPr>
                  <w:tcW w:w="1710" w:type="dxa"/>
                  <w:shd w:val="clear" w:color="auto" w:fill="FFFFFF" w:themeFill="background1"/>
                </w:tcPr>
                <w:p w14:paraId="1B1A4608"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South Carolina</w:t>
                  </w:r>
                </w:p>
              </w:tc>
              <w:tc>
                <w:tcPr>
                  <w:tcW w:w="1800" w:type="dxa"/>
                  <w:shd w:val="clear" w:color="auto" w:fill="FFFFFF" w:themeFill="background1"/>
                </w:tcPr>
                <w:p w14:paraId="59FD5A13"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14 years</w:t>
                  </w:r>
                </w:p>
              </w:tc>
            </w:tr>
            <w:tr w:rsidR="00F234D1" w:rsidRPr="009348D3" w14:paraId="6A1990BF" w14:textId="77777777" w:rsidTr="00E860FF">
              <w:tc>
                <w:tcPr>
                  <w:tcW w:w="1710" w:type="dxa"/>
                  <w:shd w:val="clear" w:color="auto" w:fill="FFFFFF" w:themeFill="background1"/>
                </w:tcPr>
                <w:p w14:paraId="210D9783"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Utah</w:t>
                  </w:r>
                </w:p>
              </w:tc>
              <w:tc>
                <w:tcPr>
                  <w:tcW w:w="1800" w:type="dxa"/>
                  <w:shd w:val="clear" w:color="auto" w:fill="FFFFFF" w:themeFill="background1"/>
                </w:tcPr>
                <w:p w14:paraId="217A40ED"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12 years</w:t>
                  </w:r>
                </w:p>
              </w:tc>
            </w:tr>
            <w:tr w:rsidR="00F234D1" w:rsidRPr="009348D3" w14:paraId="1469ADAE" w14:textId="77777777" w:rsidTr="00E860FF">
              <w:tc>
                <w:tcPr>
                  <w:tcW w:w="1710" w:type="dxa"/>
                  <w:shd w:val="clear" w:color="auto" w:fill="FFFFFF" w:themeFill="background1"/>
                </w:tcPr>
                <w:p w14:paraId="71D2E89E"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Vermont</w:t>
                  </w:r>
                </w:p>
              </w:tc>
              <w:tc>
                <w:tcPr>
                  <w:tcW w:w="1800" w:type="dxa"/>
                  <w:shd w:val="clear" w:color="auto" w:fill="FFFFFF" w:themeFill="background1"/>
                </w:tcPr>
                <w:p w14:paraId="4332F18E"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10 years</w:t>
                  </w:r>
                </w:p>
              </w:tc>
            </w:tr>
            <w:tr w:rsidR="00F234D1" w:rsidRPr="009348D3" w14:paraId="0B5EA9B4" w14:textId="77777777" w:rsidTr="00E860FF">
              <w:tc>
                <w:tcPr>
                  <w:tcW w:w="1710" w:type="dxa"/>
                  <w:shd w:val="clear" w:color="auto" w:fill="FFFFFF" w:themeFill="background1"/>
                </w:tcPr>
                <w:p w14:paraId="35389E90"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Washington</w:t>
                  </w:r>
                </w:p>
              </w:tc>
              <w:tc>
                <w:tcPr>
                  <w:tcW w:w="1800" w:type="dxa"/>
                  <w:shd w:val="clear" w:color="auto" w:fill="FFFFFF" w:themeFill="background1"/>
                </w:tcPr>
                <w:p w14:paraId="5827D68C"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26 years</w:t>
                  </w:r>
                </w:p>
              </w:tc>
            </w:tr>
            <w:tr w:rsidR="00F234D1" w:rsidRPr="009348D3" w14:paraId="33AF1F59" w14:textId="77777777" w:rsidTr="00E860FF">
              <w:tc>
                <w:tcPr>
                  <w:tcW w:w="1710" w:type="dxa"/>
                  <w:shd w:val="clear" w:color="auto" w:fill="FFFFFF" w:themeFill="background1"/>
                </w:tcPr>
                <w:p w14:paraId="49A126FF"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Wisconsin</w:t>
                  </w:r>
                </w:p>
              </w:tc>
              <w:tc>
                <w:tcPr>
                  <w:tcW w:w="1800" w:type="dxa"/>
                  <w:shd w:val="clear" w:color="auto" w:fill="FFFFFF" w:themeFill="background1"/>
                </w:tcPr>
                <w:p w14:paraId="4661DEDA" w14:textId="77777777" w:rsidR="00F234D1" w:rsidRPr="009348D3" w:rsidRDefault="00F234D1" w:rsidP="00F234D1">
                  <w:pPr>
                    <w:widowControl/>
                    <w:spacing w:line="259" w:lineRule="auto"/>
                    <w:jc w:val="center"/>
                    <w:rPr>
                      <w:rFonts w:ascii="Arial" w:eastAsia="Arial" w:hAnsi="Arial" w:cs="Arial"/>
                      <w:sz w:val="20"/>
                    </w:rPr>
                  </w:pPr>
                  <w:r w:rsidRPr="009348D3">
                    <w:rPr>
                      <w:rFonts w:ascii="Arial" w:eastAsia="Arial" w:hAnsi="Arial" w:cs="Arial"/>
                      <w:sz w:val="20"/>
                    </w:rPr>
                    <w:t>7 years</w:t>
                  </w:r>
                </w:p>
              </w:tc>
            </w:tr>
          </w:tbl>
          <w:p w14:paraId="3FD8E982" w14:textId="77777777" w:rsidR="0043255D" w:rsidRDefault="0043255D" w:rsidP="00A53398">
            <w:pPr>
              <w:rPr>
                <w:rFonts w:ascii="Arial" w:eastAsia="Calibri" w:hAnsi="Arial" w:cs="Arial"/>
                <w:noProof/>
                <w:sz w:val="20"/>
              </w:rPr>
            </w:pPr>
          </w:p>
          <w:p w14:paraId="5F61289B" w14:textId="77777777" w:rsidR="0043255D" w:rsidRDefault="0043255D" w:rsidP="00A53398">
            <w:pPr>
              <w:rPr>
                <w:rFonts w:ascii="Arial" w:eastAsia="Calibri" w:hAnsi="Arial" w:cs="Arial"/>
                <w:noProof/>
                <w:sz w:val="20"/>
              </w:rPr>
            </w:pPr>
          </w:p>
          <w:p w14:paraId="47D3B107" w14:textId="77777777" w:rsidR="0043255D" w:rsidRDefault="0043255D" w:rsidP="00A53398">
            <w:pPr>
              <w:rPr>
                <w:rFonts w:ascii="Arial" w:eastAsia="Calibri" w:hAnsi="Arial" w:cs="Arial"/>
                <w:noProof/>
                <w:sz w:val="20"/>
              </w:rPr>
            </w:pPr>
          </w:p>
          <w:p w14:paraId="3EC735E9" w14:textId="77777777" w:rsidR="0043255D" w:rsidRDefault="0043255D" w:rsidP="00A53398">
            <w:pPr>
              <w:rPr>
                <w:rFonts w:ascii="Arial" w:eastAsia="Calibri" w:hAnsi="Arial" w:cs="Arial"/>
                <w:noProof/>
                <w:sz w:val="20"/>
              </w:rPr>
            </w:pPr>
          </w:p>
          <w:p w14:paraId="7894494E" w14:textId="77777777" w:rsidR="0043255D" w:rsidRDefault="0043255D" w:rsidP="00A53398">
            <w:pPr>
              <w:rPr>
                <w:rFonts w:ascii="Arial" w:eastAsia="Calibri" w:hAnsi="Arial" w:cs="Arial"/>
                <w:noProof/>
                <w:sz w:val="20"/>
              </w:rPr>
            </w:pPr>
          </w:p>
          <w:p w14:paraId="52F174FF" w14:textId="77777777" w:rsidR="00F234D1" w:rsidRDefault="00F234D1" w:rsidP="00A53398">
            <w:pPr>
              <w:rPr>
                <w:rFonts w:ascii="Arial" w:eastAsia="Calibri" w:hAnsi="Arial" w:cs="Arial"/>
                <w:noProof/>
                <w:sz w:val="20"/>
              </w:rPr>
            </w:pPr>
          </w:p>
          <w:p w14:paraId="0043D27D" w14:textId="77777777" w:rsidR="00F234D1" w:rsidRDefault="00F234D1" w:rsidP="00A53398">
            <w:pPr>
              <w:rPr>
                <w:rFonts w:ascii="Arial" w:eastAsia="Calibri" w:hAnsi="Arial" w:cs="Arial"/>
                <w:noProof/>
                <w:sz w:val="20"/>
              </w:rPr>
            </w:pPr>
          </w:p>
          <w:p w14:paraId="11ED7409" w14:textId="77777777" w:rsidR="00F234D1" w:rsidRDefault="00F234D1" w:rsidP="00A53398">
            <w:pPr>
              <w:rPr>
                <w:rFonts w:ascii="Arial" w:eastAsia="Calibri" w:hAnsi="Arial" w:cs="Arial"/>
                <w:noProof/>
                <w:sz w:val="20"/>
              </w:rPr>
            </w:pPr>
          </w:p>
          <w:p w14:paraId="72314BCA" w14:textId="77777777" w:rsidR="00F234D1" w:rsidRDefault="00F234D1" w:rsidP="00A53398">
            <w:pPr>
              <w:rPr>
                <w:rFonts w:ascii="Arial" w:eastAsia="Calibri" w:hAnsi="Arial" w:cs="Arial"/>
                <w:noProof/>
                <w:sz w:val="20"/>
              </w:rPr>
            </w:pPr>
          </w:p>
          <w:p w14:paraId="536A9EA8" w14:textId="77777777" w:rsidR="00F234D1" w:rsidRDefault="00F234D1" w:rsidP="00A53398">
            <w:pPr>
              <w:rPr>
                <w:rFonts w:ascii="Arial" w:eastAsia="Calibri" w:hAnsi="Arial" w:cs="Arial"/>
                <w:noProof/>
                <w:sz w:val="20"/>
              </w:rPr>
            </w:pPr>
          </w:p>
          <w:p w14:paraId="38415B43" w14:textId="77777777" w:rsidR="0043255D" w:rsidRDefault="0043255D" w:rsidP="00A53398">
            <w:pPr>
              <w:rPr>
                <w:rFonts w:ascii="Arial" w:eastAsia="Calibri" w:hAnsi="Arial" w:cs="Arial"/>
                <w:noProof/>
                <w:sz w:val="20"/>
              </w:rPr>
            </w:pPr>
          </w:p>
          <w:p w14:paraId="293A77B2" w14:textId="77777777" w:rsidR="0043255D" w:rsidRDefault="0043255D" w:rsidP="00A53398">
            <w:pPr>
              <w:rPr>
                <w:rFonts w:ascii="Arial" w:eastAsia="Calibri" w:hAnsi="Arial" w:cs="Arial"/>
                <w:noProof/>
                <w:sz w:val="20"/>
              </w:rPr>
            </w:pPr>
          </w:p>
          <w:p w14:paraId="23E3B46C" w14:textId="77777777" w:rsidR="0043255D" w:rsidRDefault="0043255D" w:rsidP="00A53398">
            <w:pPr>
              <w:rPr>
                <w:rFonts w:ascii="Arial" w:eastAsia="Calibri" w:hAnsi="Arial" w:cs="Arial"/>
                <w:noProof/>
                <w:sz w:val="20"/>
              </w:rPr>
            </w:pPr>
          </w:p>
          <w:p w14:paraId="0A2A5A3F" w14:textId="77777777" w:rsidR="0043255D" w:rsidRDefault="0043255D" w:rsidP="00A53398">
            <w:pPr>
              <w:rPr>
                <w:rFonts w:ascii="Arial" w:hAnsi="Arial" w:cs="Arial"/>
                <w:sz w:val="20"/>
              </w:rPr>
            </w:pPr>
          </w:p>
          <w:p w14:paraId="1F7013A2" w14:textId="77777777" w:rsidR="00237CB2" w:rsidRDefault="00237CB2" w:rsidP="00A53398">
            <w:pPr>
              <w:rPr>
                <w:rFonts w:ascii="Arial" w:hAnsi="Arial" w:cs="Arial"/>
                <w:sz w:val="20"/>
              </w:rPr>
            </w:pPr>
          </w:p>
          <w:p w14:paraId="12F433CA" w14:textId="77777777" w:rsidR="00237CB2" w:rsidRDefault="00237CB2" w:rsidP="00A53398">
            <w:pPr>
              <w:rPr>
                <w:rFonts w:ascii="Arial" w:hAnsi="Arial" w:cs="Arial"/>
                <w:sz w:val="20"/>
              </w:rPr>
            </w:pPr>
          </w:p>
          <w:p w14:paraId="12B7EFB3" w14:textId="77777777" w:rsidR="00237CB2" w:rsidRDefault="00237CB2" w:rsidP="00A53398">
            <w:pPr>
              <w:rPr>
                <w:rFonts w:ascii="Arial" w:hAnsi="Arial" w:cs="Arial"/>
                <w:sz w:val="20"/>
              </w:rPr>
            </w:pPr>
          </w:p>
          <w:p w14:paraId="287F1608" w14:textId="77777777" w:rsidR="00237CB2" w:rsidRDefault="00237CB2" w:rsidP="00A53398">
            <w:pPr>
              <w:rPr>
                <w:rFonts w:ascii="Arial" w:hAnsi="Arial" w:cs="Arial"/>
                <w:sz w:val="20"/>
              </w:rPr>
            </w:pPr>
          </w:p>
          <w:p w14:paraId="0D209DED" w14:textId="77777777" w:rsidR="00237CB2" w:rsidRDefault="00237CB2" w:rsidP="00A53398">
            <w:pPr>
              <w:rPr>
                <w:rFonts w:ascii="Arial" w:hAnsi="Arial" w:cs="Arial"/>
                <w:sz w:val="20"/>
              </w:rPr>
            </w:pPr>
          </w:p>
          <w:p w14:paraId="2966584D" w14:textId="77777777" w:rsidR="00237CB2" w:rsidRDefault="00237CB2" w:rsidP="00A53398">
            <w:pPr>
              <w:rPr>
                <w:rFonts w:ascii="Arial" w:hAnsi="Arial" w:cs="Arial"/>
                <w:sz w:val="20"/>
              </w:rPr>
            </w:pPr>
          </w:p>
          <w:p w14:paraId="464737B0" w14:textId="77777777" w:rsidR="00237CB2" w:rsidRDefault="00237CB2" w:rsidP="00A53398">
            <w:pPr>
              <w:rPr>
                <w:rFonts w:ascii="Arial" w:hAnsi="Arial" w:cs="Arial"/>
                <w:sz w:val="20"/>
              </w:rPr>
            </w:pPr>
          </w:p>
          <w:p w14:paraId="15DE4289" w14:textId="77777777" w:rsidR="00237CB2" w:rsidRDefault="00237CB2" w:rsidP="00A53398">
            <w:pPr>
              <w:rPr>
                <w:rFonts w:ascii="Arial" w:hAnsi="Arial" w:cs="Arial"/>
                <w:sz w:val="20"/>
              </w:rPr>
            </w:pPr>
          </w:p>
          <w:p w14:paraId="67E3E400" w14:textId="77777777" w:rsidR="00237CB2" w:rsidRDefault="00237CB2" w:rsidP="00A53398">
            <w:pPr>
              <w:rPr>
                <w:rFonts w:ascii="Arial" w:hAnsi="Arial" w:cs="Arial"/>
                <w:sz w:val="20"/>
              </w:rPr>
            </w:pPr>
          </w:p>
          <w:p w14:paraId="48C7EF4E" w14:textId="77777777" w:rsidR="00237CB2" w:rsidRDefault="00237CB2" w:rsidP="00A53398">
            <w:pPr>
              <w:rPr>
                <w:rFonts w:ascii="Arial" w:hAnsi="Arial" w:cs="Arial"/>
                <w:sz w:val="20"/>
              </w:rPr>
            </w:pPr>
          </w:p>
          <w:p w14:paraId="2A404981" w14:textId="77777777" w:rsidR="00237CB2" w:rsidRDefault="00237CB2" w:rsidP="00A53398">
            <w:pPr>
              <w:rPr>
                <w:rFonts w:ascii="Arial" w:hAnsi="Arial" w:cs="Arial"/>
                <w:sz w:val="20"/>
              </w:rPr>
            </w:pPr>
          </w:p>
          <w:p w14:paraId="50DACDCF" w14:textId="77777777" w:rsidR="00237CB2" w:rsidRDefault="00237CB2" w:rsidP="00A53398">
            <w:pPr>
              <w:rPr>
                <w:rFonts w:ascii="Arial" w:hAnsi="Arial" w:cs="Arial"/>
                <w:sz w:val="20"/>
              </w:rPr>
            </w:pPr>
          </w:p>
          <w:p w14:paraId="3EDDA12A" w14:textId="430EA52E" w:rsidR="0009502C" w:rsidRPr="009348D3" w:rsidRDefault="0009502C" w:rsidP="00A53398">
            <w:pPr>
              <w:rPr>
                <w:rFonts w:ascii="Arial" w:hAnsi="Arial" w:cs="Arial"/>
                <w:sz w:val="20"/>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DE7CBA">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 xml:space="preserve">Please describe your company’s experience in serving customers of a similar size to the State with similar scope.  </w:t>
      </w:r>
      <w:r w:rsidRPr="00F234D1">
        <w:rPr>
          <w:rFonts w:asciiTheme="minorHAnsi" w:hAnsiTheme="minorHAnsi" w:cstheme="minorHAnsi"/>
          <w:szCs w:val="24"/>
        </w:rPr>
        <w:t>Please provide specific clients and detailed examples</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012EBF80" w14:textId="77777777" w:rsidR="009D338A" w:rsidRPr="009348D3" w:rsidRDefault="009D338A" w:rsidP="009D338A">
            <w:pPr>
              <w:rPr>
                <w:rFonts w:ascii="Arial" w:hAnsi="Arial" w:cs="Arial"/>
                <w:sz w:val="20"/>
              </w:rPr>
            </w:pPr>
            <w:r w:rsidRPr="009348D3">
              <w:rPr>
                <w:rFonts w:ascii="Arial" w:hAnsi="Arial" w:cs="Arial"/>
                <w:sz w:val="20"/>
              </w:rPr>
              <w:t xml:space="preserve">Milliman has a deep bench of behavioral health subject matter experts and policy analysts we can rely on to assist with this work as needed. Our healthcare policy team members are accomplished professionals with far-reaching industry knowledge, expertise, and experience with projects that require in-depth, meticulous policy analysis, development, and implementation. This includes work with both State and Federal agencies, research and analysis, stakeholder outreach and engagement, and significant experience with projects specific to increasing the availability of mental health and addiction care in local communities. </w:t>
            </w:r>
          </w:p>
          <w:p w14:paraId="79755070" w14:textId="77777777" w:rsidR="009D338A" w:rsidRPr="009348D3" w:rsidRDefault="009D338A" w:rsidP="009D338A">
            <w:pPr>
              <w:rPr>
                <w:rFonts w:ascii="Arial" w:hAnsi="Arial" w:cs="Arial"/>
                <w:sz w:val="20"/>
              </w:rPr>
            </w:pPr>
          </w:p>
          <w:p w14:paraId="249BC8B5" w14:textId="1E744268" w:rsidR="009D338A" w:rsidRPr="009348D3" w:rsidRDefault="009D338A" w:rsidP="009D338A">
            <w:pPr>
              <w:rPr>
                <w:rFonts w:ascii="Arial" w:hAnsi="Arial" w:cs="Arial"/>
                <w:sz w:val="20"/>
              </w:rPr>
            </w:pPr>
            <w:r w:rsidRPr="009348D3">
              <w:rPr>
                <w:rFonts w:ascii="Arial" w:hAnsi="Arial" w:cs="Arial"/>
                <w:sz w:val="20"/>
              </w:rPr>
              <w:t>Our team members have worked with and for behavioral health providers, patient consumer/advocates, health plans, and state agencies. We intimately understand that access to behavioral healthcare is one of the most pressing challenges faced by States today. We also appreciate that the COVID-19 pandemic has only added an increased urgency to this crisis and the demand for these services has escalated quickly over the past two years. The Milliman team for this project is comprised of behavioral health experts with unmatched knowledge and experience with the entire range of issues in the mental health and addiction space and who understand the challenges faced by states in this present moment. This knowledge and experience include a deep familiarity with issues pertaining to topics such as coverage, access and availability, workforce, and different treatment and delivery models.</w:t>
            </w:r>
          </w:p>
          <w:p w14:paraId="076F9C0D" w14:textId="77777777" w:rsidR="009D338A" w:rsidRPr="009348D3" w:rsidRDefault="009D338A" w:rsidP="009D338A">
            <w:pPr>
              <w:rPr>
                <w:rFonts w:ascii="Arial" w:hAnsi="Arial" w:cs="Arial"/>
                <w:sz w:val="20"/>
              </w:rPr>
            </w:pPr>
          </w:p>
          <w:p w14:paraId="5FC25F76" w14:textId="4D69F54F" w:rsidR="009D338A" w:rsidRPr="009348D3" w:rsidRDefault="009D338A" w:rsidP="009D338A">
            <w:pPr>
              <w:rPr>
                <w:rFonts w:ascii="Arial" w:hAnsi="Arial" w:cs="Arial"/>
                <w:sz w:val="20"/>
              </w:rPr>
            </w:pPr>
            <w:r w:rsidRPr="009348D3">
              <w:rPr>
                <w:rFonts w:ascii="Arial" w:hAnsi="Arial" w:cs="Arial"/>
                <w:sz w:val="20"/>
              </w:rPr>
              <w:t xml:space="preserve">Milliman has partnered on projects with states across the country as they attempt to increase the availability of and access to mental health and addiction treatment services for their residents. As an example, we are currently working with a state in designing and planning implementation of a statewide CCBHC care delivery model. The project includes actuarial </w:t>
            </w:r>
            <w:r w:rsidRPr="009348D3">
              <w:rPr>
                <w:rFonts w:ascii="Arial" w:hAnsi="Arial" w:cs="Arial"/>
                <w:sz w:val="20"/>
              </w:rPr>
              <w:lastRenderedPageBreak/>
              <w:t xml:space="preserve">analysis to develop sound dates and estimate budget impact, policy research to identify a path to secure appropriate authorities, and stakeholder engagement activities to ensure mental health and addiction treatment providers, and other important stakeholders are bought in and informed ahead of implementation. </w:t>
            </w:r>
          </w:p>
          <w:p w14:paraId="70FD227C" w14:textId="77777777" w:rsidR="009D338A" w:rsidRPr="009348D3" w:rsidRDefault="009D338A" w:rsidP="009D338A">
            <w:pPr>
              <w:rPr>
                <w:rFonts w:ascii="Arial" w:hAnsi="Arial" w:cs="Arial"/>
                <w:sz w:val="20"/>
              </w:rPr>
            </w:pPr>
          </w:p>
          <w:p w14:paraId="3A20D7A6" w14:textId="6D24444E" w:rsidR="009D338A" w:rsidRPr="009348D3" w:rsidRDefault="009D338A" w:rsidP="009D338A">
            <w:pPr>
              <w:rPr>
                <w:rFonts w:ascii="Arial" w:hAnsi="Arial" w:cs="Arial"/>
                <w:sz w:val="20"/>
              </w:rPr>
            </w:pPr>
            <w:r w:rsidRPr="009348D3">
              <w:rPr>
                <w:rFonts w:ascii="Arial" w:hAnsi="Arial" w:cs="Arial"/>
                <w:sz w:val="20"/>
              </w:rPr>
              <w:t xml:space="preserve">Stakeholder engagement is a core piece of nearly all our work and, as a result, our team has a magnitude of experience developing robust and dynamic engagement strategies that carefully consider every element and detail of the stakeholder landscape in the states where we work. Our lengthy experience operating in the behavioral health space allows us to identify the key players and accurately assess who is the most likely to impacted by specific policy chances and who needs to be incorporated in the process to gather needed information and ensure buy-in. </w:t>
            </w:r>
          </w:p>
          <w:p w14:paraId="18FDC4AA" w14:textId="77777777" w:rsidR="009D338A" w:rsidRPr="009348D3" w:rsidRDefault="009D338A" w:rsidP="009D338A">
            <w:pPr>
              <w:rPr>
                <w:rFonts w:ascii="Arial" w:hAnsi="Arial" w:cs="Arial"/>
                <w:sz w:val="20"/>
              </w:rPr>
            </w:pPr>
          </w:p>
          <w:p w14:paraId="5A6E5A90" w14:textId="77777777" w:rsidR="009D338A" w:rsidRPr="009348D3" w:rsidRDefault="009D338A" w:rsidP="009D338A">
            <w:pPr>
              <w:rPr>
                <w:rFonts w:ascii="Arial" w:hAnsi="Arial" w:cs="Arial"/>
                <w:sz w:val="20"/>
              </w:rPr>
            </w:pPr>
            <w:r w:rsidRPr="009348D3">
              <w:rPr>
                <w:rFonts w:ascii="Arial" w:hAnsi="Arial" w:cs="Arial"/>
                <w:sz w:val="20"/>
              </w:rPr>
              <w:t xml:space="preserve">This experience starts with our internal team who has an abundance of experience conducting stakeholder interviews and focus groups with a wide range of people and organizations, including patients and consumers of behavioral healthcare, providers, insurers, and regulatory bodies. We are currently working in several states where we are conducting intensive stakeholder outreach. </w:t>
            </w:r>
          </w:p>
          <w:p w14:paraId="569537FA" w14:textId="77777777" w:rsidR="009D338A" w:rsidRPr="009348D3" w:rsidRDefault="009D338A" w:rsidP="009D338A">
            <w:pPr>
              <w:rPr>
                <w:rFonts w:ascii="Arial" w:hAnsi="Arial" w:cs="Arial"/>
                <w:sz w:val="20"/>
              </w:rPr>
            </w:pPr>
          </w:p>
          <w:p w14:paraId="6352AADB" w14:textId="455640CF" w:rsidR="00E8027C" w:rsidRDefault="00E8027C" w:rsidP="009D338A">
            <w:pPr>
              <w:rPr>
                <w:rFonts w:ascii="Arial" w:hAnsi="Arial" w:cs="Arial"/>
                <w:sz w:val="20"/>
              </w:rPr>
            </w:pPr>
            <w:r w:rsidRPr="009348D3">
              <w:rPr>
                <w:rFonts w:ascii="Arial" w:hAnsi="Arial" w:cs="Arial"/>
                <w:sz w:val="20"/>
              </w:rPr>
              <w:t>Below are several representative samples of our work serving similar clients:</w:t>
            </w:r>
          </w:p>
          <w:p w14:paraId="0F37ED10" w14:textId="77777777" w:rsidR="00E8027C" w:rsidRDefault="00E8027C" w:rsidP="009D338A">
            <w:pPr>
              <w:rPr>
                <w:rFonts w:ascii="Arial" w:hAnsi="Arial" w:cs="Arial"/>
                <w:sz w:val="20"/>
              </w:rPr>
            </w:pPr>
          </w:p>
          <w:p w14:paraId="3ED57F6A" w14:textId="480DF38A" w:rsidR="007C3776" w:rsidRDefault="00F16746" w:rsidP="009D338A">
            <w:pPr>
              <w:rPr>
                <w:rFonts w:ascii="Arial" w:hAnsi="Arial" w:cs="Arial"/>
                <w:sz w:val="20"/>
              </w:rPr>
            </w:pPr>
            <w:r>
              <w:rPr>
                <w:rFonts w:ascii="Arial" w:hAnsi="Arial" w:cs="Arial"/>
                <w:b/>
                <w:bCs/>
                <w:sz w:val="20"/>
              </w:rPr>
              <w:t xml:space="preserve">State Mental Health Code </w:t>
            </w:r>
            <w:r w:rsidR="001E7043">
              <w:rPr>
                <w:rFonts w:ascii="Arial" w:hAnsi="Arial" w:cs="Arial"/>
                <w:b/>
                <w:bCs/>
                <w:sz w:val="20"/>
              </w:rPr>
              <w:t>R</w:t>
            </w:r>
            <w:r>
              <w:rPr>
                <w:rFonts w:ascii="Arial" w:hAnsi="Arial" w:cs="Arial"/>
                <w:b/>
                <w:bCs/>
                <w:sz w:val="20"/>
              </w:rPr>
              <w:t xml:space="preserve">eview: </w:t>
            </w:r>
            <w:r>
              <w:rPr>
                <w:rFonts w:ascii="Arial" w:hAnsi="Arial" w:cs="Arial"/>
                <w:sz w:val="20"/>
              </w:rPr>
              <w:t xml:space="preserve">Milliman was tasked with reviewing a state’s Mental Health Code and corresponding regulations to determine the responsibilities of various agencies providing behavioral health services for that state. Milliman analyzed and summarized the entirety of the Code and the regulations and created a comprehensive report that organized the provisions by topic. By summarizing and organizing the code, Milliman assisted the state in building its understanding of the </w:t>
            </w:r>
            <w:r w:rsidR="007C397B">
              <w:rPr>
                <w:rFonts w:ascii="Arial" w:hAnsi="Arial" w:cs="Arial"/>
                <w:sz w:val="20"/>
              </w:rPr>
              <w:t xml:space="preserve">Code’s content and laid the groundwork </w:t>
            </w:r>
            <w:r w:rsidR="003277AC">
              <w:rPr>
                <w:rFonts w:ascii="Arial" w:hAnsi="Arial" w:cs="Arial"/>
                <w:sz w:val="20"/>
              </w:rPr>
              <w:t xml:space="preserve">for both a contract amendment and a change int eh cost methodology utilized by the agencies contracted with the state. </w:t>
            </w:r>
          </w:p>
          <w:p w14:paraId="10BB2C44" w14:textId="77777777" w:rsidR="00DE35C5" w:rsidRPr="009348D3" w:rsidRDefault="00DE35C5" w:rsidP="009D338A">
            <w:pPr>
              <w:rPr>
                <w:rFonts w:ascii="Arial" w:hAnsi="Arial" w:cs="Arial"/>
                <w:sz w:val="20"/>
              </w:rPr>
            </w:pPr>
          </w:p>
          <w:p w14:paraId="31804923" w14:textId="77777777" w:rsidR="004217C4" w:rsidRDefault="001E7043" w:rsidP="009D338A">
            <w:pPr>
              <w:rPr>
                <w:rFonts w:ascii="Arial" w:hAnsi="Arial" w:cs="Arial"/>
                <w:sz w:val="20"/>
              </w:rPr>
            </w:pPr>
            <w:r>
              <w:rPr>
                <w:rFonts w:ascii="Arial" w:hAnsi="Arial" w:cs="Arial"/>
                <w:b/>
                <w:bCs/>
                <w:sz w:val="20"/>
              </w:rPr>
              <w:t>Behavioral Health Managed Care Program Design:</w:t>
            </w:r>
            <w:r w:rsidR="009D338A">
              <w:rPr>
                <w:rFonts w:ascii="Arial" w:hAnsi="Arial" w:cs="Arial"/>
                <w:b/>
                <w:sz w:val="20"/>
              </w:rPr>
              <w:t xml:space="preserve"> </w:t>
            </w:r>
            <w:r w:rsidR="009D338A" w:rsidRPr="009348D3">
              <w:rPr>
                <w:rFonts w:ascii="Arial" w:hAnsi="Arial" w:cs="Arial"/>
                <w:sz w:val="20"/>
              </w:rPr>
              <w:t xml:space="preserve">Milliman was retained by a state to provide policy, operational, actuarial, and financial consulting services related to the implementation of a behavioral health managed care program. This behavioral health program intends to support and coordinate care for children and families whose needs span multiple health care delivery systems including </w:t>
            </w:r>
            <w:r w:rsidR="005D69AF">
              <w:rPr>
                <w:rFonts w:ascii="Arial" w:hAnsi="Arial" w:cs="Arial"/>
                <w:sz w:val="20"/>
              </w:rPr>
              <w:t>c</w:t>
            </w:r>
            <w:r w:rsidR="009D338A" w:rsidRPr="009348D3">
              <w:rPr>
                <w:rFonts w:ascii="Arial" w:hAnsi="Arial" w:cs="Arial"/>
                <w:sz w:val="20"/>
              </w:rPr>
              <w:t xml:space="preserve">hild </w:t>
            </w:r>
            <w:r w:rsidR="005D69AF">
              <w:rPr>
                <w:rFonts w:ascii="Arial" w:hAnsi="Arial" w:cs="Arial"/>
                <w:sz w:val="20"/>
              </w:rPr>
              <w:t>w</w:t>
            </w:r>
            <w:r w:rsidR="009D338A" w:rsidRPr="009348D3">
              <w:rPr>
                <w:rFonts w:ascii="Arial" w:hAnsi="Arial" w:cs="Arial"/>
                <w:sz w:val="20"/>
              </w:rPr>
              <w:t xml:space="preserve">elfare. The scope of this project included </w:t>
            </w:r>
            <w:r w:rsidR="005D69AF">
              <w:rPr>
                <w:rFonts w:ascii="Arial" w:hAnsi="Arial" w:cs="Arial"/>
                <w:sz w:val="20"/>
              </w:rPr>
              <w:t xml:space="preserve">research of regulatory requirements as well as </w:t>
            </w:r>
            <w:r w:rsidR="009D338A" w:rsidRPr="009348D3">
              <w:rPr>
                <w:rFonts w:ascii="Arial" w:hAnsi="Arial" w:cs="Arial"/>
                <w:sz w:val="20"/>
              </w:rPr>
              <w:t>provider rate development for several new wraparound services. While there are numerous other aspects of this project, stakeholder facilitation activities have been a critical part of the value Milliman has provided to the state for this project. As part of the provider rate development process, Milliman typically performs a comprehensive stakeholder engagement process to ensure the rates are reasonable and appropriate for the service and population.  For this specific project, the stakeholder engagement process included arranging and facilitating discussions with existing groups of stakeholders to review the developed rates, assumptions, and consistency with proposed administrative code rules. We met with key stakeholders to review the methodology and modeling approach.</w:t>
            </w:r>
          </w:p>
          <w:p w14:paraId="7B9D74F5" w14:textId="77777777" w:rsidR="009543B3" w:rsidRDefault="009543B3" w:rsidP="009D338A">
            <w:pPr>
              <w:rPr>
                <w:rFonts w:ascii="Arial" w:hAnsi="Arial" w:cs="Arial"/>
                <w:sz w:val="20"/>
              </w:rPr>
            </w:pPr>
          </w:p>
          <w:p w14:paraId="6D6EF62D" w14:textId="41F30255" w:rsidR="00E77C22" w:rsidRDefault="00736330" w:rsidP="009D338A">
            <w:pPr>
              <w:rPr>
                <w:rFonts w:ascii="Arial" w:hAnsi="Arial" w:cs="Arial"/>
                <w:sz w:val="20"/>
              </w:rPr>
            </w:pPr>
            <w:r w:rsidRPr="00736330">
              <w:rPr>
                <w:rFonts w:ascii="Arial" w:hAnsi="Arial" w:cs="Arial"/>
                <w:b/>
                <w:bCs/>
                <w:sz w:val="20"/>
              </w:rPr>
              <w:t>1115 Substance Use Disorder Waiver Development:</w:t>
            </w:r>
            <w:r>
              <w:rPr>
                <w:rFonts w:ascii="Arial" w:hAnsi="Arial" w:cs="Arial"/>
                <w:sz w:val="20"/>
              </w:rPr>
              <w:t xml:space="preserve"> </w:t>
            </w:r>
            <w:r w:rsidR="00AC5760">
              <w:rPr>
                <w:rFonts w:ascii="Arial" w:hAnsi="Arial" w:cs="Arial"/>
                <w:sz w:val="20"/>
              </w:rPr>
              <w:t xml:space="preserve">Milliman was asked to </w:t>
            </w:r>
            <w:r w:rsidR="00F01A4A">
              <w:rPr>
                <w:rFonts w:ascii="Arial" w:hAnsi="Arial" w:cs="Arial"/>
                <w:sz w:val="20"/>
              </w:rPr>
              <w:t>assist a st</w:t>
            </w:r>
            <w:r>
              <w:rPr>
                <w:rFonts w:ascii="Arial" w:hAnsi="Arial" w:cs="Arial"/>
                <w:sz w:val="20"/>
              </w:rPr>
              <w:t>ate client with the analysis and development of an 1115 waiver for substance use disorder. This process required the critical analysis of current program offerings and the capacity of the state to increase the availability of substance use disorder treatments to meet CMS requirements for 1115 waivers</w:t>
            </w:r>
            <w:r w:rsidR="00F01A4A">
              <w:rPr>
                <w:rFonts w:ascii="Arial" w:hAnsi="Arial" w:cs="Arial"/>
                <w:sz w:val="20"/>
              </w:rPr>
              <w:t xml:space="preserve">. </w:t>
            </w:r>
            <w:r w:rsidR="00760B1B">
              <w:rPr>
                <w:rFonts w:ascii="Arial" w:hAnsi="Arial" w:cs="Arial"/>
                <w:sz w:val="20"/>
              </w:rPr>
              <w:t>This process required research and stakeholder engagement to determine the current levels of both public and private</w:t>
            </w:r>
            <w:r w:rsidR="00BC5F6B">
              <w:rPr>
                <w:rFonts w:ascii="Arial" w:hAnsi="Arial" w:cs="Arial"/>
                <w:sz w:val="20"/>
              </w:rPr>
              <w:t xml:space="preserve"> treatment options. </w:t>
            </w:r>
            <w:r w:rsidR="006D6898">
              <w:rPr>
                <w:rFonts w:ascii="Arial" w:hAnsi="Arial" w:cs="Arial"/>
                <w:sz w:val="20"/>
              </w:rPr>
              <w:t xml:space="preserve">Following the initial </w:t>
            </w:r>
            <w:r w:rsidR="00FA5024">
              <w:rPr>
                <w:rFonts w:ascii="Arial" w:hAnsi="Arial" w:cs="Arial"/>
                <w:sz w:val="20"/>
              </w:rPr>
              <w:t>a</w:t>
            </w:r>
            <w:r w:rsidR="00572998">
              <w:rPr>
                <w:rFonts w:ascii="Arial" w:hAnsi="Arial" w:cs="Arial"/>
                <w:sz w:val="20"/>
              </w:rPr>
              <w:t xml:space="preserve">ssessment of current treatment options, </w:t>
            </w:r>
            <w:r w:rsidR="007B28D8">
              <w:rPr>
                <w:rFonts w:ascii="Arial" w:hAnsi="Arial" w:cs="Arial"/>
                <w:sz w:val="20"/>
              </w:rPr>
              <w:t xml:space="preserve">Milliman provided the client with potential opportunities for growth and development </w:t>
            </w:r>
            <w:r w:rsidR="002C21EB">
              <w:rPr>
                <w:rFonts w:ascii="Arial" w:hAnsi="Arial" w:cs="Arial"/>
                <w:sz w:val="20"/>
              </w:rPr>
              <w:t xml:space="preserve">of </w:t>
            </w:r>
            <w:r w:rsidR="0078235D">
              <w:rPr>
                <w:rFonts w:ascii="Arial" w:hAnsi="Arial" w:cs="Arial"/>
                <w:sz w:val="20"/>
              </w:rPr>
              <w:t xml:space="preserve">treatment </w:t>
            </w:r>
            <w:r w:rsidR="00526860">
              <w:rPr>
                <w:rFonts w:ascii="Arial" w:hAnsi="Arial" w:cs="Arial"/>
                <w:sz w:val="20"/>
              </w:rPr>
              <w:t xml:space="preserve">options. These recommendations included opportunities for </w:t>
            </w:r>
            <w:r w:rsidR="00C6288D">
              <w:rPr>
                <w:rFonts w:ascii="Arial" w:hAnsi="Arial" w:cs="Arial"/>
                <w:sz w:val="20"/>
              </w:rPr>
              <w:t xml:space="preserve">treatment initiation, </w:t>
            </w:r>
            <w:r w:rsidR="00412253">
              <w:rPr>
                <w:rFonts w:ascii="Arial" w:hAnsi="Arial" w:cs="Arial"/>
                <w:sz w:val="20"/>
              </w:rPr>
              <w:t xml:space="preserve">treatment retention, </w:t>
            </w:r>
            <w:r w:rsidR="004D68FE">
              <w:rPr>
                <w:rFonts w:ascii="Arial" w:hAnsi="Arial" w:cs="Arial"/>
                <w:sz w:val="20"/>
              </w:rPr>
              <w:t xml:space="preserve">and </w:t>
            </w:r>
            <w:r w:rsidR="00D2373F">
              <w:rPr>
                <w:rFonts w:ascii="Arial" w:hAnsi="Arial" w:cs="Arial"/>
                <w:sz w:val="20"/>
              </w:rPr>
              <w:t>improved treatment quality</w:t>
            </w:r>
            <w:r w:rsidR="004D68FE">
              <w:rPr>
                <w:rFonts w:ascii="Arial" w:hAnsi="Arial" w:cs="Arial"/>
                <w:sz w:val="20"/>
              </w:rPr>
              <w:t xml:space="preserve"> all with the goal</w:t>
            </w:r>
            <w:r w:rsidR="00517D99">
              <w:rPr>
                <w:rFonts w:ascii="Arial" w:hAnsi="Arial" w:cs="Arial"/>
                <w:sz w:val="20"/>
              </w:rPr>
              <w:t>s</w:t>
            </w:r>
            <w:r w:rsidR="004D68FE">
              <w:rPr>
                <w:rFonts w:ascii="Arial" w:hAnsi="Arial" w:cs="Arial"/>
                <w:sz w:val="20"/>
              </w:rPr>
              <w:t xml:space="preserve"> of</w:t>
            </w:r>
            <w:r w:rsidR="00517D99">
              <w:rPr>
                <w:rFonts w:ascii="Arial" w:hAnsi="Arial" w:cs="Arial"/>
                <w:sz w:val="20"/>
              </w:rPr>
              <w:t xml:space="preserve"> improving </w:t>
            </w:r>
            <w:r w:rsidR="00053607">
              <w:rPr>
                <w:rFonts w:ascii="Arial" w:hAnsi="Arial" w:cs="Arial"/>
                <w:sz w:val="20"/>
              </w:rPr>
              <w:t xml:space="preserve">access to care and </w:t>
            </w:r>
            <w:r w:rsidR="004D68FE">
              <w:rPr>
                <w:rFonts w:ascii="Arial" w:hAnsi="Arial" w:cs="Arial"/>
                <w:sz w:val="20"/>
              </w:rPr>
              <w:t xml:space="preserve">reducing </w:t>
            </w:r>
            <w:r w:rsidR="006D6D4D">
              <w:rPr>
                <w:rFonts w:ascii="Arial" w:hAnsi="Arial" w:cs="Arial"/>
                <w:sz w:val="20"/>
              </w:rPr>
              <w:t>readmissions</w:t>
            </w:r>
            <w:r w:rsidR="00053607">
              <w:rPr>
                <w:rFonts w:ascii="Arial" w:hAnsi="Arial" w:cs="Arial"/>
                <w:sz w:val="20"/>
              </w:rPr>
              <w:t xml:space="preserve">. </w:t>
            </w:r>
          </w:p>
          <w:p w14:paraId="1BBD4F53" w14:textId="77777777" w:rsidR="00E77C22" w:rsidRDefault="00E77C22" w:rsidP="00E77C22">
            <w:pPr>
              <w:rPr>
                <w:rFonts w:ascii="Arial" w:hAnsi="Arial" w:cs="Arial"/>
                <w:sz w:val="20"/>
              </w:rPr>
            </w:pPr>
          </w:p>
          <w:p w14:paraId="4898D654" w14:textId="77777777" w:rsidR="00E77C22" w:rsidRPr="00982D16" w:rsidRDefault="00E77C22" w:rsidP="00E77C22">
            <w:pPr>
              <w:rPr>
                <w:rFonts w:ascii="Arial" w:hAnsi="Arial" w:cs="Arial"/>
                <w:sz w:val="20"/>
              </w:rPr>
            </w:pPr>
            <w:r>
              <w:rPr>
                <w:rFonts w:ascii="Arial" w:hAnsi="Arial" w:cs="Arial"/>
                <w:b/>
                <w:bCs/>
                <w:sz w:val="20"/>
              </w:rPr>
              <w:t xml:space="preserve">Medicaid Benefits Assessment: </w:t>
            </w:r>
            <w:r>
              <w:rPr>
                <w:rFonts w:ascii="Arial" w:hAnsi="Arial" w:cs="Arial"/>
                <w:sz w:val="20"/>
              </w:rPr>
              <w:t>Milliman was asked to assist a state Medicaid agency in responding to a legislative request to understand the scope of Medicaid covered benefits as compared to other types of healthcare coverage. We performed a detailed review of both state and federal statutes, regulations, and policy documents to understand any coverage mandates and/or restrictions that would apply to each service type, across physical health, behavioral health and substance abuse treatment, and long term services and supports. To support this analysis, we created a detailed grid to outline the requirements by service type, population group, and whether the service was federally mandated or optional to provide, among other criteria. We then pulled benefit and coverage requirements for both the state employee plan as well as the Marketplace benchmark plan for that state, so that we could compare this information to the Medicaid coverage regulations. In several cases, we brought in clinical and coding expertise to validate the collected benefits information, as well as to assure our understanding of what services would align for mental health parity requirements. Finally, we prepared a summary report that the agency could utilize in communicating the results with the state legislature and other key stakeholders.</w:t>
            </w:r>
          </w:p>
          <w:p w14:paraId="3D372D53" w14:textId="77777777" w:rsidR="00736330" w:rsidRDefault="00736330" w:rsidP="009D338A">
            <w:pPr>
              <w:rPr>
                <w:rFonts w:ascii="Arial" w:hAnsi="Arial" w:cs="Arial"/>
                <w:sz w:val="20"/>
              </w:rPr>
            </w:pPr>
          </w:p>
          <w:p w14:paraId="6979F70E" w14:textId="694BC0EE" w:rsidR="007204D9" w:rsidRDefault="0093074A" w:rsidP="007204D9">
            <w:pPr>
              <w:rPr>
                <w:rFonts w:ascii="Arial" w:hAnsi="Arial" w:cs="Arial"/>
                <w:sz w:val="20"/>
              </w:rPr>
            </w:pPr>
            <w:r w:rsidRPr="00B7673C">
              <w:rPr>
                <w:rFonts w:ascii="Arial" w:hAnsi="Arial" w:cs="Arial"/>
                <w:b/>
                <w:sz w:val="20"/>
              </w:rPr>
              <w:t>Care Management</w:t>
            </w:r>
            <w:r w:rsidRPr="00B7673C">
              <w:rPr>
                <w:rFonts w:ascii="Arial" w:hAnsi="Arial" w:cs="Arial"/>
                <w:b/>
                <w:bCs/>
                <w:sz w:val="20"/>
              </w:rPr>
              <w:t xml:space="preserve"> </w:t>
            </w:r>
            <w:r w:rsidR="00B7673C" w:rsidRPr="00B7673C">
              <w:rPr>
                <w:rFonts w:ascii="Arial" w:hAnsi="Arial" w:cs="Arial"/>
                <w:b/>
                <w:bCs/>
                <w:sz w:val="20"/>
              </w:rPr>
              <w:t>Program</w:t>
            </w:r>
            <w:r w:rsidRPr="00B7673C">
              <w:rPr>
                <w:rFonts w:ascii="Arial" w:hAnsi="Arial" w:cs="Arial"/>
                <w:b/>
                <w:sz w:val="20"/>
              </w:rPr>
              <w:t xml:space="preserve"> Development: </w:t>
            </w:r>
            <w:r w:rsidR="003804B6">
              <w:rPr>
                <w:rFonts w:ascii="Arial" w:hAnsi="Arial" w:cs="Arial"/>
                <w:sz w:val="20"/>
              </w:rPr>
              <w:t>Milliman was retained by a s</w:t>
            </w:r>
            <w:r w:rsidR="007204D9">
              <w:rPr>
                <w:rFonts w:ascii="Arial" w:hAnsi="Arial" w:cs="Arial"/>
                <w:sz w:val="20"/>
              </w:rPr>
              <w:t xml:space="preserve">tate client that asked for assistance improving a member-focused care management structure for their Medicaid managed care program. </w:t>
            </w:r>
            <w:r w:rsidR="00117F01">
              <w:rPr>
                <w:rFonts w:ascii="Arial" w:hAnsi="Arial" w:cs="Arial"/>
                <w:sz w:val="20"/>
              </w:rPr>
              <w:t xml:space="preserve">One of the key features of this project was stakeholder engagement with payors, members, and care management providers. </w:t>
            </w:r>
            <w:r w:rsidR="00440878">
              <w:rPr>
                <w:rFonts w:ascii="Arial" w:hAnsi="Arial" w:cs="Arial"/>
                <w:sz w:val="20"/>
              </w:rPr>
              <w:t>W</w:t>
            </w:r>
            <w:r w:rsidR="007204D9">
              <w:rPr>
                <w:rFonts w:ascii="Arial" w:hAnsi="Arial" w:cs="Arial"/>
                <w:sz w:val="20"/>
              </w:rPr>
              <w:t xml:space="preserve">e discussed the current landscape of the care management work with several stakeholders to understand what was working and what could be improved. After these discussions, we identified key areas for improvement, discussed possible options with the client, and then designed an improved care management structure that was all-encompassing of the members needs while creating greater provider integration and communication between all health care providers for each individual member. </w:t>
            </w:r>
          </w:p>
          <w:p w14:paraId="2A70276F" w14:textId="77777777" w:rsidR="00524E3F" w:rsidRDefault="00524E3F" w:rsidP="009D338A">
            <w:pPr>
              <w:rPr>
                <w:rFonts w:ascii="Arial" w:hAnsi="Arial" w:cs="Arial"/>
                <w:sz w:val="20"/>
              </w:rPr>
            </w:pPr>
          </w:p>
          <w:p w14:paraId="69807400" w14:textId="71845F69" w:rsidR="00524E3F" w:rsidRDefault="00524E3F" w:rsidP="009D338A">
            <w:pPr>
              <w:rPr>
                <w:rFonts w:ascii="Arial" w:hAnsi="Arial" w:cs="Arial"/>
                <w:sz w:val="20"/>
              </w:rPr>
            </w:pPr>
            <w:r>
              <w:rPr>
                <w:rFonts w:ascii="Arial" w:hAnsi="Arial" w:cs="Arial"/>
                <w:sz w:val="20"/>
              </w:rPr>
              <w:t xml:space="preserve">In addition to these examples, we are also pleased to share the experience of one of our subcontractors proposed for this project, </w:t>
            </w:r>
            <w:r w:rsidR="00D002F6" w:rsidRPr="00D002F6">
              <w:rPr>
                <w:rFonts w:ascii="Arial" w:hAnsi="Arial" w:cs="Arial"/>
                <w:sz w:val="20"/>
              </w:rPr>
              <w:t>Lawrance Policy Consulting L</w:t>
            </w:r>
            <w:r w:rsidR="00D002F6">
              <w:rPr>
                <w:rFonts w:ascii="Arial" w:hAnsi="Arial" w:cs="Arial"/>
                <w:sz w:val="20"/>
              </w:rPr>
              <w:t xml:space="preserve">LC, </w:t>
            </w:r>
            <w:r>
              <w:rPr>
                <w:rFonts w:ascii="Arial" w:hAnsi="Arial" w:cs="Arial"/>
                <w:sz w:val="20"/>
              </w:rPr>
              <w:t xml:space="preserve">who brings specific experience </w:t>
            </w:r>
            <w:r w:rsidR="005A26F6">
              <w:rPr>
                <w:rFonts w:ascii="Arial" w:hAnsi="Arial" w:cs="Arial"/>
                <w:sz w:val="20"/>
              </w:rPr>
              <w:t>conducting stakeholder engagement with behavioral health providers</w:t>
            </w:r>
            <w:r w:rsidR="00105C0C">
              <w:rPr>
                <w:rFonts w:ascii="Arial" w:hAnsi="Arial" w:cs="Arial"/>
                <w:sz w:val="20"/>
              </w:rPr>
              <w:t xml:space="preserve"> and other healthcare</w:t>
            </w:r>
            <w:r w:rsidR="00DB16B1">
              <w:rPr>
                <w:rFonts w:ascii="Arial" w:hAnsi="Arial" w:cs="Arial"/>
                <w:sz w:val="20"/>
              </w:rPr>
              <w:t xml:space="preserve"> providers</w:t>
            </w:r>
            <w:r w:rsidR="005A26F6">
              <w:rPr>
                <w:rFonts w:ascii="Arial" w:hAnsi="Arial" w:cs="Arial"/>
                <w:sz w:val="20"/>
              </w:rPr>
              <w:t xml:space="preserve"> in the state of Indiana:</w:t>
            </w:r>
          </w:p>
          <w:p w14:paraId="0A0D5280" w14:textId="77777777" w:rsidR="00105C0C" w:rsidRDefault="00105C0C" w:rsidP="009D338A">
            <w:pPr>
              <w:rPr>
                <w:rFonts w:ascii="Arial" w:hAnsi="Arial" w:cs="Arial"/>
                <w:sz w:val="20"/>
              </w:rPr>
            </w:pPr>
          </w:p>
          <w:p w14:paraId="1D013F25" w14:textId="1531962B" w:rsidR="005A26F6" w:rsidRDefault="00DB16B1" w:rsidP="00B453FC">
            <w:pPr>
              <w:widowControl/>
              <w:rPr>
                <w:rFonts w:ascii="Arial" w:hAnsi="Arial" w:cs="Arial"/>
                <w:sz w:val="20"/>
              </w:rPr>
            </w:pPr>
            <w:r w:rsidRPr="0038491E">
              <w:rPr>
                <w:rFonts w:ascii="Arial" w:hAnsi="Arial" w:cs="Arial"/>
                <w:b/>
                <w:bCs/>
                <w:sz w:val="20"/>
              </w:rPr>
              <w:t>External Quality Review Organization (</w:t>
            </w:r>
            <w:proofErr w:type="spellStart"/>
            <w:r w:rsidRPr="0038491E">
              <w:rPr>
                <w:rFonts w:ascii="Arial" w:hAnsi="Arial" w:cs="Arial"/>
                <w:b/>
                <w:bCs/>
                <w:sz w:val="20"/>
              </w:rPr>
              <w:t>EQRO</w:t>
            </w:r>
            <w:proofErr w:type="spellEnd"/>
            <w:r w:rsidRPr="0038491E">
              <w:rPr>
                <w:rFonts w:ascii="Arial" w:hAnsi="Arial" w:cs="Arial"/>
                <w:b/>
                <w:bCs/>
                <w:sz w:val="20"/>
              </w:rPr>
              <w:t xml:space="preserve">) </w:t>
            </w:r>
            <w:r w:rsidR="0038491E">
              <w:rPr>
                <w:rFonts w:ascii="Arial" w:hAnsi="Arial" w:cs="Arial"/>
                <w:b/>
                <w:bCs/>
                <w:sz w:val="20"/>
              </w:rPr>
              <w:t xml:space="preserve">Stakeholder </w:t>
            </w:r>
            <w:r w:rsidRPr="0038491E">
              <w:rPr>
                <w:rFonts w:ascii="Arial" w:hAnsi="Arial" w:cs="Arial"/>
                <w:b/>
                <w:bCs/>
                <w:sz w:val="20"/>
              </w:rPr>
              <w:t>Interviews:</w:t>
            </w:r>
            <w:r w:rsidRPr="003F02D1">
              <w:rPr>
                <w:rFonts w:ascii="Arial" w:hAnsi="Arial" w:cs="Arial"/>
                <w:sz w:val="20"/>
              </w:rPr>
              <w:t xml:space="preserve"> </w:t>
            </w:r>
            <w:r w:rsidR="00EF5966" w:rsidRPr="003F02D1">
              <w:rPr>
                <w:rFonts w:ascii="Arial" w:hAnsi="Arial" w:cs="Arial"/>
                <w:sz w:val="20"/>
              </w:rPr>
              <w:t>As an external quality reviewer</w:t>
            </w:r>
            <w:r w:rsidR="0038491E">
              <w:rPr>
                <w:rFonts w:ascii="Arial" w:hAnsi="Arial" w:cs="Arial"/>
                <w:sz w:val="20"/>
              </w:rPr>
              <w:t xml:space="preserve"> for the Indiana Office of Medicaid Policy and Planning</w:t>
            </w:r>
            <w:r w:rsidR="00EF5966" w:rsidRPr="003F02D1">
              <w:rPr>
                <w:rFonts w:ascii="Arial" w:hAnsi="Arial" w:cs="Arial"/>
                <w:sz w:val="20"/>
              </w:rPr>
              <w:t xml:space="preserve">, </w:t>
            </w:r>
            <w:r w:rsidR="00D002F6" w:rsidRPr="00D002F6">
              <w:rPr>
                <w:rFonts w:ascii="Arial" w:hAnsi="Arial" w:cs="Arial"/>
                <w:sz w:val="20"/>
              </w:rPr>
              <w:t xml:space="preserve">Lawrance Policy Consulting </w:t>
            </w:r>
            <w:r w:rsidR="0038491E">
              <w:rPr>
                <w:rFonts w:ascii="Arial" w:hAnsi="Arial" w:cs="Arial"/>
                <w:sz w:val="20"/>
              </w:rPr>
              <w:t>(</w:t>
            </w:r>
            <w:proofErr w:type="spellStart"/>
            <w:r w:rsidR="0038491E">
              <w:rPr>
                <w:rFonts w:ascii="Arial" w:hAnsi="Arial" w:cs="Arial"/>
                <w:sz w:val="20"/>
              </w:rPr>
              <w:t>LPC</w:t>
            </w:r>
            <w:proofErr w:type="spellEnd"/>
            <w:r w:rsidR="0038491E">
              <w:rPr>
                <w:rFonts w:ascii="Arial" w:hAnsi="Arial" w:cs="Arial"/>
                <w:sz w:val="20"/>
              </w:rPr>
              <w:t xml:space="preserve">) </w:t>
            </w:r>
            <w:r w:rsidR="003F02D1">
              <w:rPr>
                <w:rFonts w:ascii="Arial" w:hAnsi="Arial" w:cs="Arial"/>
                <w:sz w:val="20"/>
              </w:rPr>
              <w:t xml:space="preserve">developed and managed </w:t>
            </w:r>
            <w:r w:rsidR="00EF5966" w:rsidRPr="003F02D1">
              <w:rPr>
                <w:rFonts w:ascii="Arial" w:hAnsi="Arial" w:cs="Arial"/>
                <w:sz w:val="20"/>
              </w:rPr>
              <w:t xml:space="preserve">several projects interviewing </w:t>
            </w:r>
            <w:r w:rsidR="00B453FC">
              <w:rPr>
                <w:rFonts w:ascii="Arial" w:hAnsi="Arial" w:cs="Arial"/>
                <w:sz w:val="20"/>
              </w:rPr>
              <w:t xml:space="preserve">Indiana </w:t>
            </w:r>
            <w:r w:rsidR="0038491E">
              <w:rPr>
                <w:rFonts w:ascii="Arial" w:hAnsi="Arial" w:cs="Arial"/>
                <w:sz w:val="20"/>
              </w:rPr>
              <w:t>behavioral health</w:t>
            </w:r>
            <w:r w:rsidR="00EF5966" w:rsidRPr="003F02D1">
              <w:rPr>
                <w:rFonts w:ascii="Arial" w:hAnsi="Arial" w:cs="Arial"/>
                <w:sz w:val="20"/>
              </w:rPr>
              <w:t xml:space="preserve"> providers across Indiana. </w:t>
            </w:r>
            <w:r w:rsidR="003F02D1">
              <w:rPr>
                <w:rFonts w:ascii="Arial" w:hAnsi="Arial" w:cs="Arial"/>
                <w:sz w:val="20"/>
              </w:rPr>
              <w:t xml:space="preserve">During one such project, </w:t>
            </w:r>
            <w:proofErr w:type="spellStart"/>
            <w:r w:rsidR="003F02D1">
              <w:rPr>
                <w:rFonts w:ascii="Arial" w:hAnsi="Arial" w:cs="Arial"/>
                <w:sz w:val="20"/>
              </w:rPr>
              <w:t>LPC</w:t>
            </w:r>
            <w:proofErr w:type="spellEnd"/>
            <w:r w:rsidR="003F02D1">
              <w:rPr>
                <w:rFonts w:ascii="Arial" w:hAnsi="Arial" w:cs="Arial"/>
                <w:sz w:val="20"/>
              </w:rPr>
              <w:t xml:space="preserve"> </w:t>
            </w:r>
            <w:r w:rsidR="00DA2556">
              <w:rPr>
                <w:rFonts w:ascii="Arial" w:hAnsi="Arial" w:cs="Arial"/>
                <w:sz w:val="20"/>
              </w:rPr>
              <w:t>interviewed Indiana behavioral health</w:t>
            </w:r>
            <w:r w:rsidR="00DA2556" w:rsidRPr="003F02D1">
              <w:rPr>
                <w:rFonts w:ascii="Arial" w:hAnsi="Arial" w:cs="Arial"/>
                <w:sz w:val="20"/>
              </w:rPr>
              <w:t xml:space="preserve"> providers</w:t>
            </w:r>
            <w:r w:rsidR="00DA2556">
              <w:rPr>
                <w:rFonts w:ascii="Arial" w:hAnsi="Arial" w:cs="Arial"/>
                <w:sz w:val="20"/>
              </w:rPr>
              <w:t xml:space="preserve"> across the state</w:t>
            </w:r>
            <w:r w:rsidR="0038491E">
              <w:rPr>
                <w:rFonts w:ascii="Arial" w:hAnsi="Arial" w:cs="Arial"/>
                <w:sz w:val="20"/>
              </w:rPr>
              <w:t xml:space="preserve"> to</w:t>
            </w:r>
            <w:r w:rsidR="00EF5966" w:rsidRPr="003F02D1">
              <w:rPr>
                <w:rFonts w:ascii="Arial" w:hAnsi="Arial" w:cs="Arial"/>
                <w:sz w:val="20"/>
              </w:rPr>
              <w:t xml:space="preserve"> evaluat</w:t>
            </w:r>
            <w:r w:rsidR="0038491E">
              <w:rPr>
                <w:rFonts w:ascii="Arial" w:hAnsi="Arial" w:cs="Arial"/>
                <w:sz w:val="20"/>
              </w:rPr>
              <w:t>e</w:t>
            </w:r>
            <w:r w:rsidR="00EF5966" w:rsidRPr="003F02D1">
              <w:rPr>
                <w:rFonts w:ascii="Arial" w:hAnsi="Arial" w:cs="Arial"/>
                <w:sz w:val="20"/>
              </w:rPr>
              <w:t xml:space="preserve"> the </w:t>
            </w:r>
            <w:r w:rsidR="00AD2699">
              <w:rPr>
                <w:rFonts w:ascii="Arial" w:hAnsi="Arial" w:cs="Arial"/>
                <w:sz w:val="20"/>
              </w:rPr>
              <w:t xml:space="preserve">managed care organizations’ </w:t>
            </w:r>
            <w:r w:rsidR="00EF5966" w:rsidRPr="003F02D1">
              <w:rPr>
                <w:rFonts w:ascii="Arial" w:hAnsi="Arial" w:cs="Arial"/>
                <w:sz w:val="20"/>
              </w:rPr>
              <w:t>provider relations department</w:t>
            </w:r>
            <w:r w:rsidR="00AD2699">
              <w:rPr>
                <w:rFonts w:ascii="Arial" w:hAnsi="Arial" w:cs="Arial"/>
                <w:sz w:val="20"/>
              </w:rPr>
              <w:t xml:space="preserve">s to understand the </w:t>
            </w:r>
            <w:r w:rsidR="007C5DA8">
              <w:rPr>
                <w:rFonts w:ascii="Arial" w:hAnsi="Arial" w:cs="Arial"/>
                <w:sz w:val="20"/>
              </w:rPr>
              <w:t>quality of the MCOs’</w:t>
            </w:r>
            <w:r w:rsidR="00EF5966" w:rsidRPr="003F02D1">
              <w:rPr>
                <w:rFonts w:ascii="Arial" w:hAnsi="Arial" w:cs="Arial"/>
                <w:sz w:val="20"/>
              </w:rPr>
              <w:t xml:space="preserve"> interaction with</w:t>
            </w:r>
            <w:r w:rsidR="00DA2556">
              <w:rPr>
                <w:rFonts w:ascii="Arial" w:hAnsi="Arial" w:cs="Arial"/>
                <w:sz w:val="20"/>
              </w:rPr>
              <w:t xml:space="preserve"> the providers</w:t>
            </w:r>
            <w:r w:rsidR="007C5DA8">
              <w:rPr>
                <w:rFonts w:ascii="Arial" w:hAnsi="Arial" w:cs="Arial"/>
                <w:sz w:val="20"/>
              </w:rPr>
              <w:t xml:space="preserve">.  On another </w:t>
            </w:r>
            <w:proofErr w:type="spellStart"/>
            <w:r w:rsidR="007C5DA8">
              <w:rPr>
                <w:rFonts w:ascii="Arial" w:hAnsi="Arial" w:cs="Arial"/>
                <w:sz w:val="20"/>
              </w:rPr>
              <w:t>EQRO</w:t>
            </w:r>
            <w:proofErr w:type="spellEnd"/>
            <w:r w:rsidR="007C5DA8">
              <w:rPr>
                <w:rFonts w:ascii="Arial" w:hAnsi="Arial" w:cs="Arial"/>
                <w:sz w:val="20"/>
              </w:rPr>
              <w:t xml:space="preserve"> project, </w:t>
            </w:r>
            <w:proofErr w:type="spellStart"/>
            <w:r w:rsidR="007C5DA8">
              <w:rPr>
                <w:rFonts w:ascii="Arial" w:hAnsi="Arial" w:cs="Arial"/>
                <w:sz w:val="20"/>
              </w:rPr>
              <w:t>LPC</w:t>
            </w:r>
            <w:proofErr w:type="spellEnd"/>
            <w:r w:rsidR="007C5DA8">
              <w:rPr>
                <w:rFonts w:ascii="Arial" w:hAnsi="Arial" w:cs="Arial"/>
                <w:sz w:val="20"/>
              </w:rPr>
              <w:t xml:space="preserve"> conducted </w:t>
            </w:r>
            <w:r w:rsidR="00B453FC">
              <w:rPr>
                <w:rFonts w:ascii="Arial" w:hAnsi="Arial" w:cs="Arial"/>
                <w:sz w:val="20"/>
              </w:rPr>
              <w:t>stakeholder engagement with Indiana behavioral health providers</w:t>
            </w:r>
            <w:r w:rsidR="00EF5966" w:rsidRPr="003F02D1">
              <w:rPr>
                <w:rFonts w:ascii="Arial" w:hAnsi="Arial" w:cs="Arial"/>
                <w:sz w:val="20"/>
              </w:rPr>
              <w:t xml:space="preserve"> about their Alcohol and Other Drug </w:t>
            </w:r>
            <w:proofErr w:type="spellStart"/>
            <w:r w:rsidR="00EF5966" w:rsidRPr="003F02D1">
              <w:rPr>
                <w:rFonts w:ascii="Arial" w:hAnsi="Arial" w:cs="Arial"/>
                <w:sz w:val="20"/>
              </w:rPr>
              <w:t>HEDIS</w:t>
            </w:r>
            <w:proofErr w:type="spellEnd"/>
            <w:r w:rsidR="00EF5966" w:rsidRPr="003F02D1">
              <w:rPr>
                <w:rFonts w:ascii="Arial" w:hAnsi="Arial" w:cs="Arial"/>
                <w:sz w:val="20"/>
              </w:rPr>
              <w:t xml:space="preserve"> measures of Initiation and Engagement of Treatment.</w:t>
            </w:r>
          </w:p>
          <w:p w14:paraId="505A41F2" w14:textId="53DE94DA" w:rsidR="004217C4" w:rsidRPr="00B453FC" w:rsidRDefault="004217C4" w:rsidP="00B453FC">
            <w:pPr>
              <w:widowControl/>
              <w:rPr>
                <w:rFonts w:ascii="Arial" w:hAnsi="Arial" w:cs="Arial"/>
                <w:sz w:val="20"/>
              </w:rPr>
            </w:pPr>
          </w:p>
        </w:tc>
      </w:tr>
    </w:tbl>
    <w:p w14:paraId="27CB179A" w14:textId="35553335" w:rsidR="000770AE" w:rsidRDefault="000770AE" w:rsidP="000770AE">
      <w:pPr>
        <w:jc w:val="both"/>
        <w:rPr>
          <w:rFonts w:asciiTheme="minorHAnsi" w:hAnsiTheme="minorHAnsi" w:cstheme="minorHAnsi"/>
          <w:szCs w:val="24"/>
        </w:rPr>
      </w:pPr>
    </w:p>
    <w:p w14:paraId="2BFDE289" w14:textId="7E88D0FD" w:rsidR="005A0FC8" w:rsidRPr="000770AE" w:rsidRDefault="00FD5220" w:rsidP="00DE7CBA">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C60549">
        <w:rPr>
          <w:rFonts w:asciiTheme="minorHAnsi" w:hAnsiTheme="minorHAnsi" w:cstheme="minorHAnsi"/>
          <w:b/>
          <w:szCs w:val="24"/>
        </w:rPr>
        <w:t>–</w:t>
      </w:r>
      <w:r w:rsidRPr="000770AE">
        <w:rPr>
          <w:rFonts w:asciiTheme="minorHAnsi" w:hAnsiTheme="minorHAnsi" w:cstheme="minorHAnsi"/>
          <w:b/>
          <w:szCs w:val="24"/>
        </w:rPr>
        <w:t xml:space="preserve"> </w:t>
      </w:r>
      <w:r w:rsidR="00C60549">
        <w:rPr>
          <w:rFonts w:asciiTheme="minorHAnsi" w:hAnsiTheme="minorHAnsi" w:cstheme="minorHAnsi"/>
          <w:szCs w:val="24"/>
        </w:rPr>
        <w:t>Removed at request of agency</w:t>
      </w:r>
      <w:r w:rsidRPr="000770AE">
        <w:rPr>
          <w:rFonts w:asciiTheme="minorHAnsi" w:hAnsiTheme="minorHAnsi" w:cstheme="minorHAnsi"/>
          <w:szCs w:val="24"/>
        </w:rPr>
        <w:t>.</w:t>
      </w:r>
    </w:p>
    <w:p w14:paraId="71405DB1" w14:textId="6A8F3488" w:rsidR="00F655C2" w:rsidRDefault="00F655C2" w:rsidP="00AF696A">
      <w:pPr>
        <w:widowControl/>
        <w:jc w:val="both"/>
        <w:rPr>
          <w:rFonts w:ascii="Garamond" w:hAnsi="Garamond"/>
          <w:szCs w:val="24"/>
        </w:rPr>
      </w:pPr>
    </w:p>
    <w:p w14:paraId="35334CBB" w14:textId="233C30BD"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C60549">
        <w:rPr>
          <w:rFonts w:asciiTheme="minorHAnsi" w:hAnsiTheme="minorHAnsi" w:cstheme="minorHAnsi"/>
          <w:bCs/>
          <w:szCs w:val="24"/>
        </w:rPr>
        <w:t>Remove</w:t>
      </w:r>
      <w:r w:rsidR="007020EA">
        <w:rPr>
          <w:rFonts w:asciiTheme="minorHAnsi" w:hAnsiTheme="minorHAnsi" w:cstheme="minorHAnsi"/>
          <w:bCs/>
          <w:szCs w:val="24"/>
        </w:rPr>
        <w:t>d</w:t>
      </w:r>
      <w:r w:rsidR="00C60549">
        <w:rPr>
          <w:rFonts w:asciiTheme="minorHAnsi" w:hAnsiTheme="minorHAnsi" w:cstheme="minorHAnsi"/>
          <w:bCs/>
          <w:szCs w:val="24"/>
        </w:rPr>
        <w:t xml:space="preserve"> at request of agency.</w:t>
      </w:r>
    </w:p>
    <w:p w14:paraId="12DF4610" w14:textId="5272166F" w:rsidR="00CB62E2" w:rsidRDefault="00CB62E2" w:rsidP="00AF696A">
      <w:pPr>
        <w:widowControl/>
        <w:jc w:val="both"/>
        <w:rPr>
          <w:rFonts w:ascii="Garamond" w:hAnsi="Garamond"/>
          <w:szCs w:val="24"/>
        </w:rPr>
      </w:pPr>
    </w:p>
    <w:sectPr w:rsidR="00CB62E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735FE8"/>
    <w:multiLevelType w:val="hybridMultilevel"/>
    <w:tmpl w:val="C0922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316D44"/>
    <w:multiLevelType w:val="hybridMultilevel"/>
    <w:tmpl w:val="122A5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5A548C2"/>
    <w:multiLevelType w:val="hybridMultilevel"/>
    <w:tmpl w:val="F5BA7852"/>
    <w:lvl w:ilvl="0" w:tplc="7EBA0CC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39982C11"/>
    <w:multiLevelType w:val="hybridMultilevel"/>
    <w:tmpl w:val="9D24DA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2"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5F7C6D78"/>
    <w:multiLevelType w:val="hybridMultilevel"/>
    <w:tmpl w:val="22EE7B26"/>
    <w:lvl w:ilvl="0" w:tplc="7EBA0CC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2" w15:restartNumberingAfterBreak="0">
    <w:nsid w:val="695064D4"/>
    <w:multiLevelType w:val="multilevel"/>
    <w:tmpl w:val="B5AAC20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lowerLetter"/>
      <w:lvlText w:val="%5)"/>
      <w:lvlJc w:val="left"/>
      <w:pPr>
        <w:ind w:left="1440" w:hanging="1080"/>
      </w:p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B904823"/>
    <w:multiLevelType w:val="hybridMultilevel"/>
    <w:tmpl w:val="68307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F30FCF"/>
    <w:multiLevelType w:val="hybridMultilevel"/>
    <w:tmpl w:val="31865F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C374F97"/>
    <w:multiLevelType w:val="hybridMultilevel"/>
    <w:tmpl w:val="1854A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70D02CE3"/>
    <w:multiLevelType w:val="hybridMultilevel"/>
    <w:tmpl w:val="77DEF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7A90398C"/>
    <w:multiLevelType w:val="hybridMultilevel"/>
    <w:tmpl w:val="EBE8C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4"/>
  </w:num>
  <w:num w:numId="4">
    <w:abstractNumId w:val="12"/>
  </w:num>
  <w:num w:numId="5">
    <w:abstractNumId w:val="6"/>
  </w:num>
  <w:num w:numId="6">
    <w:abstractNumId w:val="19"/>
  </w:num>
  <w:num w:numId="7">
    <w:abstractNumId w:val="27"/>
  </w:num>
  <w:num w:numId="8">
    <w:abstractNumId w:val="31"/>
  </w:num>
  <w:num w:numId="9">
    <w:abstractNumId w:val="23"/>
  </w:num>
  <w:num w:numId="10">
    <w:abstractNumId w:val="1"/>
  </w:num>
  <w:num w:numId="11">
    <w:abstractNumId w:val="0"/>
  </w:num>
  <w:num w:numId="12">
    <w:abstractNumId w:val="20"/>
  </w:num>
  <w:num w:numId="13">
    <w:abstractNumId w:val="30"/>
  </w:num>
  <w:num w:numId="14">
    <w:abstractNumId w:val="4"/>
  </w:num>
  <w:num w:numId="15">
    <w:abstractNumId w:val="18"/>
  </w:num>
  <w:num w:numId="16">
    <w:abstractNumId w:val="15"/>
  </w:num>
  <w:num w:numId="17">
    <w:abstractNumId w:val="16"/>
  </w:num>
  <w:num w:numId="18">
    <w:abstractNumId w:val="2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6"/>
  </w:num>
  <w:num w:numId="25">
    <w:abstractNumId w:val="17"/>
  </w:num>
  <w:num w:numId="26">
    <w:abstractNumId w:val="8"/>
  </w:num>
  <w:num w:numId="27">
    <w:abstractNumId w:val="32"/>
  </w:num>
  <w:num w:numId="28">
    <w:abstractNumId w:val="2"/>
  </w:num>
  <w:num w:numId="29">
    <w:abstractNumId w:val="29"/>
  </w:num>
  <w:num w:numId="30">
    <w:abstractNumId w:val="25"/>
  </w:num>
  <w:num w:numId="31">
    <w:abstractNumId w:val="5"/>
  </w:num>
  <w:num w:numId="32">
    <w:abstractNumId w:val="10"/>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0FC2"/>
    <w:rsid w:val="0000708C"/>
    <w:rsid w:val="00020743"/>
    <w:rsid w:val="000207A2"/>
    <w:rsid w:val="00023D35"/>
    <w:rsid w:val="00024C86"/>
    <w:rsid w:val="000314B4"/>
    <w:rsid w:val="00034112"/>
    <w:rsid w:val="0003501A"/>
    <w:rsid w:val="00041224"/>
    <w:rsid w:val="00050BFF"/>
    <w:rsid w:val="00052C23"/>
    <w:rsid w:val="00053607"/>
    <w:rsid w:val="00053FF0"/>
    <w:rsid w:val="00061354"/>
    <w:rsid w:val="00061FBC"/>
    <w:rsid w:val="00067184"/>
    <w:rsid w:val="00076A18"/>
    <w:rsid w:val="000770AE"/>
    <w:rsid w:val="0008133F"/>
    <w:rsid w:val="000828AA"/>
    <w:rsid w:val="00085346"/>
    <w:rsid w:val="0009140A"/>
    <w:rsid w:val="00094547"/>
    <w:rsid w:val="00094AB1"/>
    <w:rsid w:val="00094D95"/>
    <w:rsid w:val="0009502C"/>
    <w:rsid w:val="000A0971"/>
    <w:rsid w:val="000A79DD"/>
    <w:rsid w:val="000A7E85"/>
    <w:rsid w:val="000B48B8"/>
    <w:rsid w:val="000B58BC"/>
    <w:rsid w:val="000B6DEF"/>
    <w:rsid w:val="000C017F"/>
    <w:rsid w:val="000C6DD8"/>
    <w:rsid w:val="000D1F2C"/>
    <w:rsid w:val="000D32AE"/>
    <w:rsid w:val="000E4E6E"/>
    <w:rsid w:val="000E7FC1"/>
    <w:rsid w:val="000F21DF"/>
    <w:rsid w:val="00102DF0"/>
    <w:rsid w:val="00105C0C"/>
    <w:rsid w:val="0011345F"/>
    <w:rsid w:val="00117F01"/>
    <w:rsid w:val="00123DCA"/>
    <w:rsid w:val="0012408D"/>
    <w:rsid w:val="00126D9E"/>
    <w:rsid w:val="00127B93"/>
    <w:rsid w:val="00130E30"/>
    <w:rsid w:val="00133B9C"/>
    <w:rsid w:val="00135645"/>
    <w:rsid w:val="00137CE3"/>
    <w:rsid w:val="00141B94"/>
    <w:rsid w:val="00141ECD"/>
    <w:rsid w:val="00142432"/>
    <w:rsid w:val="00142CC5"/>
    <w:rsid w:val="00162426"/>
    <w:rsid w:val="00167523"/>
    <w:rsid w:val="001706DA"/>
    <w:rsid w:val="00174793"/>
    <w:rsid w:val="00175245"/>
    <w:rsid w:val="001752B9"/>
    <w:rsid w:val="00175631"/>
    <w:rsid w:val="0017627E"/>
    <w:rsid w:val="001A21C7"/>
    <w:rsid w:val="001A463D"/>
    <w:rsid w:val="001A482F"/>
    <w:rsid w:val="001B22AB"/>
    <w:rsid w:val="001B3407"/>
    <w:rsid w:val="001B7DE4"/>
    <w:rsid w:val="001C128F"/>
    <w:rsid w:val="001E7043"/>
    <w:rsid w:val="001F3C4F"/>
    <w:rsid w:val="001F679A"/>
    <w:rsid w:val="001F7706"/>
    <w:rsid w:val="00203D6A"/>
    <w:rsid w:val="002040FB"/>
    <w:rsid w:val="00207E80"/>
    <w:rsid w:val="00226797"/>
    <w:rsid w:val="00236481"/>
    <w:rsid w:val="00237CB2"/>
    <w:rsid w:val="002409AA"/>
    <w:rsid w:val="00251750"/>
    <w:rsid w:val="00252FE0"/>
    <w:rsid w:val="0025534D"/>
    <w:rsid w:val="0025799B"/>
    <w:rsid w:val="00260470"/>
    <w:rsid w:val="00260725"/>
    <w:rsid w:val="00264B4D"/>
    <w:rsid w:val="002676EA"/>
    <w:rsid w:val="00267D07"/>
    <w:rsid w:val="00270673"/>
    <w:rsid w:val="00277762"/>
    <w:rsid w:val="002870C8"/>
    <w:rsid w:val="002960D5"/>
    <w:rsid w:val="002A2AFE"/>
    <w:rsid w:val="002A3185"/>
    <w:rsid w:val="002B0064"/>
    <w:rsid w:val="002B3A36"/>
    <w:rsid w:val="002B3E3A"/>
    <w:rsid w:val="002C053A"/>
    <w:rsid w:val="002C21EB"/>
    <w:rsid w:val="002C5E9A"/>
    <w:rsid w:val="002C5FAB"/>
    <w:rsid w:val="002C7FF5"/>
    <w:rsid w:val="002D0740"/>
    <w:rsid w:val="002D0DC3"/>
    <w:rsid w:val="002D1516"/>
    <w:rsid w:val="002D1DD7"/>
    <w:rsid w:val="002E09C3"/>
    <w:rsid w:val="002E4822"/>
    <w:rsid w:val="002F0EC0"/>
    <w:rsid w:val="002F2AD6"/>
    <w:rsid w:val="002F3BEF"/>
    <w:rsid w:val="002F4F04"/>
    <w:rsid w:val="002F50CB"/>
    <w:rsid w:val="003055DB"/>
    <w:rsid w:val="00323710"/>
    <w:rsid w:val="00326B41"/>
    <w:rsid w:val="003277AC"/>
    <w:rsid w:val="00331F48"/>
    <w:rsid w:val="00334869"/>
    <w:rsid w:val="00341828"/>
    <w:rsid w:val="00351531"/>
    <w:rsid w:val="003528C0"/>
    <w:rsid w:val="00364D94"/>
    <w:rsid w:val="00370866"/>
    <w:rsid w:val="00377D4C"/>
    <w:rsid w:val="003804B6"/>
    <w:rsid w:val="00383BC4"/>
    <w:rsid w:val="0038491E"/>
    <w:rsid w:val="00387E12"/>
    <w:rsid w:val="0039010A"/>
    <w:rsid w:val="00395561"/>
    <w:rsid w:val="003A58C7"/>
    <w:rsid w:val="003A5BEF"/>
    <w:rsid w:val="003B7A2F"/>
    <w:rsid w:val="003C25CD"/>
    <w:rsid w:val="003C5433"/>
    <w:rsid w:val="003C5A48"/>
    <w:rsid w:val="003D6645"/>
    <w:rsid w:val="003E057A"/>
    <w:rsid w:val="003E05D6"/>
    <w:rsid w:val="003E095E"/>
    <w:rsid w:val="003E3D74"/>
    <w:rsid w:val="003F02D1"/>
    <w:rsid w:val="003F442B"/>
    <w:rsid w:val="004009A6"/>
    <w:rsid w:val="00405269"/>
    <w:rsid w:val="00405EE0"/>
    <w:rsid w:val="00412253"/>
    <w:rsid w:val="00414C3F"/>
    <w:rsid w:val="004217C4"/>
    <w:rsid w:val="00421ACA"/>
    <w:rsid w:val="0042538F"/>
    <w:rsid w:val="0043255D"/>
    <w:rsid w:val="00435D4B"/>
    <w:rsid w:val="00436E61"/>
    <w:rsid w:val="00440878"/>
    <w:rsid w:val="0045070F"/>
    <w:rsid w:val="0045454A"/>
    <w:rsid w:val="004564F5"/>
    <w:rsid w:val="004615FD"/>
    <w:rsid w:val="00463E52"/>
    <w:rsid w:val="0047302F"/>
    <w:rsid w:val="00473A12"/>
    <w:rsid w:val="0047440B"/>
    <w:rsid w:val="00475460"/>
    <w:rsid w:val="00480672"/>
    <w:rsid w:val="004812E0"/>
    <w:rsid w:val="00482FD8"/>
    <w:rsid w:val="00490208"/>
    <w:rsid w:val="00492638"/>
    <w:rsid w:val="004A1345"/>
    <w:rsid w:val="004B36C7"/>
    <w:rsid w:val="004B5B90"/>
    <w:rsid w:val="004C4C06"/>
    <w:rsid w:val="004D244C"/>
    <w:rsid w:val="004D68FE"/>
    <w:rsid w:val="004E36F3"/>
    <w:rsid w:val="004E5F85"/>
    <w:rsid w:val="004E7F0E"/>
    <w:rsid w:val="004F3F1D"/>
    <w:rsid w:val="005008F8"/>
    <w:rsid w:val="005017AA"/>
    <w:rsid w:val="00506651"/>
    <w:rsid w:val="00506807"/>
    <w:rsid w:val="00512B1B"/>
    <w:rsid w:val="0051425A"/>
    <w:rsid w:val="00515C17"/>
    <w:rsid w:val="00517D99"/>
    <w:rsid w:val="00517DDF"/>
    <w:rsid w:val="00524E3F"/>
    <w:rsid w:val="00526860"/>
    <w:rsid w:val="00531719"/>
    <w:rsid w:val="00542998"/>
    <w:rsid w:val="00557FF2"/>
    <w:rsid w:val="0056091C"/>
    <w:rsid w:val="00572998"/>
    <w:rsid w:val="00585082"/>
    <w:rsid w:val="00595BBB"/>
    <w:rsid w:val="005A0801"/>
    <w:rsid w:val="005A0A2C"/>
    <w:rsid w:val="005A0FC8"/>
    <w:rsid w:val="005A26F6"/>
    <w:rsid w:val="005C1062"/>
    <w:rsid w:val="005C69AD"/>
    <w:rsid w:val="005C71CB"/>
    <w:rsid w:val="005D2C4A"/>
    <w:rsid w:val="005D653B"/>
    <w:rsid w:val="005D69AF"/>
    <w:rsid w:val="005E3698"/>
    <w:rsid w:val="005E4087"/>
    <w:rsid w:val="005E65BE"/>
    <w:rsid w:val="005F14FB"/>
    <w:rsid w:val="005F1B82"/>
    <w:rsid w:val="005F2D5D"/>
    <w:rsid w:val="006003DC"/>
    <w:rsid w:val="00601478"/>
    <w:rsid w:val="00601A6F"/>
    <w:rsid w:val="00603289"/>
    <w:rsid w:val="00610FE6"/>
    <w:rsid w:val="006122B8"/>
    <w:rsid w:val="006129A3"/>
    <w:rsid w:val="0061328B"/>
    <w:rsid w:val="0062196F"/>
    <w:rsid w:val="006320E9"/>
    <w:rsid w:val="00634AEB"/>
    <w:rsid w:val="006405E9"/>
    <w:rsid w:val="00641540"/>
    <w:rsid w:val="0065205A"/>
    <w:rsid w:val="006676D8"/>
    <w:rsid w:val="00672E84"/>
    <w:rsid w:val="00674B1D"/>
    <w:rsid w:val="006758FD"/>
    <w:rsid w:val="00677364"/>
    <w:rsid w:val="006801A1"/>
    <w:rsid w:val="0068469D"/>
    <w:rsid w:val="00684FEC"/>
    <w:rsid w:val="00685EDC"/>
    <w:rsid w:val="00686A7C"/>
    <w:rsid w:val="006A0BD6"/>
    <w:rsid w:val="006A2D83"/>
    <w:rsid w:val="006A7BE7"/>
    <w:rsid w:val="006C5803"/>
    <w:rsid w:val="006C6A87"/>
    <w:rsid w:val="006D6898"/>
    <w:rsid w:val="006D6D4D"/>
    <w:rsid w:val="006D6D99"/>
    <w:rsid w:val="006D79AE"/>
    <w:rsid w:val="006E1DBE"/>
    <w:rsid w:val="006F59D1"/>
    <w:rsid w:val="00700659"/>
    <w:rsid w:val="007020EA"/>
    <w:rsid w:val="00713E6B"/>
    <w:rsid w:val="00717D64"/>
    <w:rsid w:val="007204D9"/>
    <w:rsid w:val="00724A03"/>
    <w:rsid w:val="00731173"/>
    <w:rsid w:val="007337DE"/>
    <w:rsid w:val="00735D9F"/>
    <w:rsid w:val="00736330"/>
    <w:rsid w:val="007372FF"/>
    <w:rsid w:val="007405EB"/>
    <w:rsid w:val="00741B7D"/>
    <w:rsid w:val="0074369E"/>
    <w:rsid w:val="007517DF"/>
    <w:rsid w:val="00754956"/>
    <w:rsid w:val="00757BBC"/>
    <w:rsid w:val="00760B1B"/>
    <w:rsid w:val="00772139"/>
    <w:rsid w:val="0078235D"/>
    <w:rsid w:val="00786320"/>
    <w:rsid w:val="00786A9F"/>
    <w:rsid w:val="007931BC"/>
    <w:rsid w:val="007A445A"/>
    <w:rsid w:val="007A6A89"/>
    <w:rsid w:val="007B0037"/>
    <w:rsid w:val="007B2329"/>
    <w:rsid w:val="007B28D8"/>
    <w:rsid w:val="007B5422"/>
    <w:rsid w:val="007B5701"/>
    <w:rsid w:val="007B6944"/>
    <w:rsid w:val="007C043B"/>
    <w:rsid w:val="007C2F26"/>
    <w:rsid w:val="007C3776"/>
    <w:rsid w:val="007C397B"/>
    <w:rsid w:val="007C5DA8"/>
    <w:rsid w:val="007D03B1"/>
    <w:rsid w:val="007D155E"/>
    <w:rsid w:val="007F1B85"/>
    <w:rsid w:val="007F7034"/>
    <w:rsid w:val="00800F84"/>
    <w:rsid w:val="00801FF6"/>
    <w:rsid w:val="00803A57"/>
    <w:rsid w:val="008070F3"/>
    <w:rsid w:val="008109D5"/>
    <w:rsid w:val="00812D7F"/>
    <w:rsid w:val="0081650C"/>
    <w:rsid w:val="00817B92"/>
    <w:rsid w:val="008316B9"/>
    <w:rsid w:val="008364D9"/>
    <w:rsid w:val="008367E4"/>
    <w:rsid w:val="0085066A"/>
    <w:rsid w:val="008511C1"/>
    <w:rsid w:val="00854C55"/>
    <w:rsid w:val="008578F9"/>
    <w:rsid w:val="008631B6"/>
    <w:rsid w:val="00865E0C"/>
    <w:rsid w:val="00874D95"/>
    <w:rsid w:val="008773CC"/>
    <w:rsid w:val="00877F50"/>
    <w:rsid w:val="00882ED5"/>
    <w:rsid w:val="0088656C"/>
    <w:rsid w:val="00887F55"/>
    <w:rsid w:val="008A45B7"/>
    <w:rsid w:val="008B36F9"/>
    <w:rsid w:val="008B6B83"/>
    <w:rsid w:val="008C428E"/>
    <w:rsid w:val="008D3F6D"/>
    <w:rsid w:val="008E0DCF"/>
    <w:rsid w:val="008E12EA"/>
    <w:rsid w:val="008F2EB2"/>
    <w:rsid w:val="008F4E85"/>
    <w:rsid w:val="009020A5"/>
    <w:rsid w:val="009029AF"/>
    <w:rsid w:val="00906FA3"/>
    <w:rsid w:val="0092157C"/>
    <w:rsid w:val="009255C1"/>
    <w:rsid w:val="00925A9C"/>
    <w:rsid w:val="0093074A"/>
    <w:rsid w:val="009345FE"/>
    <w:rsid w:val="009348BE"/>
    <w:rsid w:val="009348D3"/>
    <w:rsid w:val="00940CA1"/>
    <w:rsid w:val="00951771"/>
    <w:rsid w:val="009543B3"/>
    <w:rsid w:val="00954B94"/>
    <w:rsid w:val="00965FF1"/>
    <w:rsid w:val="00971083"/>
    <w:rsid w:val="00976624"/>
    <w:rsid w:val="00982D16"/>
    <w:rsid w:val="00992733"/>
    <w:rsid w:val="009A0786"/>
    <w:rsid w:val="009B3012"/>
    <w:rsid w:val="009C0FAA"/>
    <w:rsid w:val="009D1675"/>
    <w:rsid w:val="009D26C6"/>
    <w:rsid w:val="009D338A"/>
    <w:rsid w:val="009D522F"/>
    <w:rsid w:val="009D550B"/>
    <w:rsid w:val="009E0C5C"/>
    <w:rsid w:val="00A025C6"/>
    <w:rsid w:val="00A1114C"/>
    <w:rsid w:val="00A2550B"/>
    <w:rsid w:val="00A35621"/>
    <w:rsid w:val="00A35F83"/>
    <w:rsid w:val="00A37AC7"/>
    <w:rsid w:val="00A4166E"/>
    <w:rsid w:val="00A43D07"/>
    <w:rsid w:val="00A46E29"/>
    <w:rsid w:val="00A51B92"/>
    <w:rsid w:val="00A53398"/>
    <w:rsid w:val="00A54F1B"/>
    <w:rsid w:val="00A730A5"/>
    <w:rsid w:val="00A90590"/>
    <w:rsid w:val="00A97F1C"/>
    <w:rsid w:val="00AA00F2"/>
    <w:rsid w:val="00AA012C"/>
    <w:rsid w:val="00AA44C4"/>
    <w:rsid w:val="00AA4786"/>
    <w:rsid w:val="00AA5298"/>
    <w:rsid w:val="00AC5760"/>
    <w:rsid w:val="00AC786B"/>
    <w:rsid w:val="00AD2699"/>
    <w:rsid w:val="00AD3A14"/>
    <w:rsid w:val="00AD43B8"/>
    <w:rsid w:val="00AE49EE"/>
    <w:rsid w:val="00AF19C3"/>
    <w:rsid w:val="00AF36BF"/>
    <w:rsid w:val="00AF4835"/>
    <w:rsid w:val="00AF5F13"/>
    <w:rsid w:val="00AF696A"/>
    <w:rsid w:val="00B04C53"/>
    <w:rsid w:val="00B073B7"/>
    <w:rsid w:val="00B1358E"/>
    <w:rsid w:val="00B20CEB"/>
    <w:rsid w:val="00B22A9F"/>
    <w:rsid w:val="00B268DE"/>
    <w:rsid w:val="00B31295"/>
    <w:rsid w:val="00B32150"/>
    <w:rsid w:val="00B33D9E"/>
    <w:rsid w:val="00B43061"/>
    <w:rsid w:val="00B453FC"/>
    <w:rsid w:val="00B551B8"/>
    <w:rsid w:val="00B65785"/>
    <w:rsid w:val="00B66829"/>
    <w:rsid w:val="00B66D79"/>
    <w:rsid w:val="00B671D0"/>
    <w:rsid w:val="00B7614E"/>
    <w:rsid w:val="00B7673C"/>
    <w:rsid w:val="00B82DE9"/>
    <w:rsid w:val="00B84DAC"/>
    <w:rsid w:val="00B84F3A"/>
    <w:rsid w:val="00B8604E"/>
    <w:rsid w:val="00B97A5F"/>
    <w:rsid w:val="00BA6522"/>
    <w:rsid w:val="00BB3E13"/>
    <w:rsid w:val="00BB441D"/>
    <w:rsid w:val="00BB4C38"/>
    <w:rsid w:val="00BB6251"/>
    <w:rsid w:val="00BC5F6B"/>
    <w:rsid w:val="00BD4508"/>
    <w:rsid w:val="00BD7CB3"/>
    <w:rsid w:val="00BE3952"/>
    <w:rsid w:val="00BE5408"/>
    <w:rsid w:val="00BF2E23"/>
    <w:rsid w:val="00BF4E0C"/>
    <w:rsid w:val="00C009A2"/>
    <w:rsid w:val="00C04A6A"/>
    <w:rsid w:val="00C06262"/>
    <w:rsid w:val="00C22294"/>
    <w:rsid w:val="00C2331C"/>
    <w:rsid w:val="00C249B7"/>
    <w:rsid w:val="00C35A1F"/>
    <w:rsid w:val="00C41180"/>
    <w:rsid w:val="00C4202B"/>
    <w:rsid w:val="00C4659D"/>
    <w:rsid w:val="00C60549"/>
    <w:rsid w:val="00C6288D"/>
    <w:rsid w:val="00C72152"/>
    <w:rsid w:val="00C741FC"/>
    <w:rsid w:val="00C830DF"/>
    <w:rsid w:val="00C9083F"/>
    <w:rsid w:val="00C92BA1"/>
    <w:rsid w:val="00CA0E43"/>
    <w:rsid w:val="00CA327C"/>
    <w:rsid w:val="00CB1B37"/>
    <w:rsid w:val="00CB284F"/>
    <w:rsid w:val="00CB5933"/>
    <w:rsid w:val="00CB62E2"/>
    <w:rsid w:val="00CC3724"/>
    <w:rsid w:val="00CD6E31"/>
    <w:rsid w:val="00CD76B7"/>
    <w:rsid w:val="00CE4EA3"/>
    <w:rsid w:val="00D002F6"/>
    <w:rsid w:val="00D00CA6"/>
    <w:rsid w:val="00D038ED"/>
    <w:rsid w:val="00D13AF6"/>
    <w:rsid w:val="00D175AC"/>
    <w:rsid w:val="00D17FC8"/>
    <w:rsid w:val="00D2373F"/>
    <w:rsid w:val="00D24DFB"/>
    <w:rsid w:val="00D45264"/>
    <w:rsid w:val="00D56988"/>
    <w:rsid w:val="00D61EF4"/>
    <w:rsid w:val="00D65780"/>
    <w:rsid w:val="00D75B07"/>
    <w:rsid w:val="00D824D5"/>
    <w:rsid w:val="00D85496"/>
    <w:rsid w:val="00D85962"/>
    <w:rsid w:val="00D91E1B"/>
    <w:rsid w:val="00D9324D"/>
    <w:rsid w:val="00DA2556"/>
    <w:rsid w:val="00DA71FA"/>
    <w:rsid w:val="00DB16B1"/>
    <w:rsid w:val="00DE2591"/>
    <w:rsid w:val="00DE35C5"/>
    <w:rsid w:val="00DE5F5C"/>
    <w:rsid w:val="00DE7CBA"/>
    <w:rsid w:val="00DF761E"/>
    <w:rsid w:val="00E20562"/>
    <w:rsid w:val="00E26E01"/>
    <w:rsid w:val="00E32D53"/>
    <w:rsid w:val="00E3675B"/>
    <w:rsid w:val="00E36980"/>
    <w:rsid w:val="00E51019"/>
    <w:rsid w:val="00E53F21"/>
    <w:rsid w:val="00E55CD1"/>
    <w:rsid w:val="00E57417"/>
    <w:rsid w:val="00E65CF2"/>
    <w:rsid w:val="00E66E28"/>
    <w:rsid w:val="00E75923"/>
    <w:rsid w:val="00E77B44"/>
    <w:rsid w:val="00E77C22"/>
    <w:rsid w:val="00E8027C"/>
    <w:rsid w:val="00E80E75"/>
    <w:rsid w:val="00E839C7"/>
    <w:rsid w:val="00E860FF"/>
    <w:rsid w:val="00E93261"/>
    <w:rsid w:val="00EA1E04"/>
    <w:rsid w:val="00EA7DC5"/>
    <w:rsid w:val="00EC6908"/>
    <w:rsid w:val="00EC7021"/>
    <w:rsid w:val="00EC770B"/>
    <w:rsid w:val="00EC77AE"/>
    <w:rsid w:val="00ED5932"/>
    <w:rsid w:val="00ED7034"/>
    <w:rsid w:val="00EE2E94"/>
    <w:rsid w:val="00EE5E03"/>
    <w:rsid w:val="00EF0A39"/>
    <w:rsid w:val="00EF5966"/>
    <w:rsid w:val="00EF5A0C"/>
    <w:rsid w:val="00EF730C"/>
    <w:rsid w:val="00F01A4A"/>
    <w:rsid w:val="00F01F90"/>
    <w:rsid w:val="00F10CB9"/>
    <w:rsid w:val="00F16746"/>
    <w:rsid w:val="00F1787A"/>
    <w:rsid w:val="00F21316"/>
    <w:rsid w:val="00F233E7"/>
    <w:rsid w:val="00F234D1"/>
    <w:rsid w:val="00F26708"/>
    <w:rsid w:val="00F27DB8"/>
    <w:rsid w:val="00F45216"/>
    <w:rsid w:val="00F60C65"/>
    <w:rsid w:val="00F655C2"/>
    <w:rsid w:val="00F65B34"/>
    <w:rsid w:val="00F667F7"/>
    <w:rsid w:val="00F72BF2"/>
    <w:rsid w:val="00F9365B"/>
    <w:rsid w:val="00F9538F"/>
    <w:rsid w:val="00F976B6"/>
    <w:rsid w:val="00FA0B0D"/>
    <w:rsid w:val="00FA0CCF"/>
    <w:rsid w:val="00FA161D"/>
    <w:rsid w:val="00FA5024"/>
    <w:rsid w:val="00FA75ED"/>
    <w:rsid w:val="00FB6F5E"/>
    <w:rsid w:val="00FC61B1"/>
    <w:rsid w:val="00FD141D"/>
    <w:rsid w:val="00FD1C12"/>
    <w:rsid w:val="00FD3AE1"/>
    <w:rsid w:val="00FD5220"/>
    <w:rsid w:val="00FD6782"/>
    <w:rsid w:val="00FE3285"/>
    <w:rsid w:val="00FF6EBE"/>
    <w:rsid w:val="02D7AD60"/>
    <w:rsid w:val="04E5D6D9"/>
    <w:rsid w:val="06BFADBD"/>
    <w:rsid w:val="08695EF6"/>
    <w:rsid w:val="09387694"/>
    <w:rsid w:val="09B1C018"/>
    <w:rsid w:val="09DEBD9A"/>
    <w:rsid w:val="0B99132D"/>
    <w:rsid w:val="0BB8947E"/>
    <w:rsid w:val="0C8F012F"/>
    <w:rsid w:val="0CD3F81E"/>
    <w:rsid w:val="0EAAA6D9"/>
    <w:rsid w:val="0FAE110C"/>
    <w:rsid w:val="1020057D"/>
    <w:rsid w:val="115AEA6E"/>
    <w:rsid w:val="12CD20E9"/>
    <w:rsid w:val="155066FC"/>
    <w:rsid w:val="1C37F5E5"/>
    <w:rsid w:val="1CC96BA7"/>
    <w:rsid w:val="1FE87B84"/>
    <w:rsid w:val="21C25268"/>
    <w:rsid w:val="2298BF19"/>
    <w:rsid w:val="22DDB608"/>
    <w:rsid w:val="244FEC83"/>
    <w:rsid w:val="268E3BA7"/>
    <w:rsid w:val="2764A858"/>
    <w:rsid w:val="2791A5DA"/>
    <w:rsid w:val="2B7812A0"/>
    <w:rsid w:val="2BF916D9"/>
    <w:rsid w:val="2EEB2934"/>
    <w:rsid w:val="319844A0"/>
    <w:rsid w:val="31DD3B8F"/>
    <w:rsid w:val="33002713"/>
    <w:rsid w:val="33721B84"/>
    <w:rsid w:val="37D7D5CE"/>
    <w:rsid w:val="37F90DD4"/>
    <w:rsid w:val="3B229AED"/>
    <w:rsid w:val="3C338151"/>
    <w:rsid w:val="3E6EA84C"/>
    <w:rsid w:val="3EE09CBD"/>
    <w:rsid w:val="401B81AE"/>
    <w:rsid w:val="41F55892"/>
    <w:rsid w:val="42674D03"/>
    <w:rsid w:val="433A918B"/>
    <w:rsid w:val="439F09CB"/>
    <w:rsid w:val="47A2028A"/>
    <w:rsid w:val="4909E4FD"/>
    <w:rsid w:val="49E051AE"/>
    <w:rsid w:val="4AE3BBE1"/>
    <w:rsid w:val="4C28F4DA"/>
    <w:rsid w:val="4E3A467C"/>
    <w:rsid w:val="50636857"/>
    <w:rsid w:val="50E761E8"/>
    <w:rsid w:val="519E4D48"/>
    <w:rsid w:val="56253F98"/>
    <w:rsid w:val="5840E542"/>
    <w:rsid w:val="5A1EF9BE"/>
    <w:rsid w:val="5AFEA508"/>
    <w:rsid w:val="5B901ACA"/>
    <w:rsid w:val="5C09644E"/>
    <w:rsid w:val="5D0CCE81"/>
    <w:rsid w:val="6193C0D1"/>
    <w:rsid w:val="63C3983F"/>
    <w:rsid w:val="65893D5F"/>
    <w:rsid w:val="65EDB59F"/>
    <w:rsid w:val="693CEB27"/>
    <w:rsid w:val="699E3B3E"/>
    <w:rsid w:val="6E35D1E8"/>
    <w:rsid w:val="6EBDF95E"/>
    <w:rsid w:val="6FC001D0"/>
    <w:rsid w:val="704FF3AE"/>
    <w:rsid w:val="7154E1C5"/>
    <w:rsid w:val="72D1957C"/>
    <w:rsid w:val="7301BB27"/>
    <w:rsid w:val="73B57E5E"/>
    <w:rsid w:val="75F3CD82"/>
    <w:rsid w:val="78E5DFDD"/>
    <w:rsid w:val="7ABFB6C1"/>
    <w:rsid w:val="7B512C83"/>
    <w:rsid w:val="7E703C60"/>
    <w:rsid w:val="7E9D39E2"/>
    <w:rsid w:val="7F46A9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1C87C115-20E8-4B3A-91CC-2613B29C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lp1,b1,d_bodyb,B1"/>
    <w:basedOn w:val="Normal"/>
    <w:link w:val="ListParagraphChar"/>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8070F3"/>
    <w:rPr>
      <w:rFonts w:ascii="Courier" w:hAnsi="Courier"/>
      <w:snapToGrid w:val="0"/>
      <w:sz w:val="24"/>
    </w:rPr>
  </w:style>
  <w:style w:type="character" w:styleId="UnresolvedMention">
    <w:name w:val="Unresolved Mention"/>
    <w:basedOn w:val="DefaultParagraphFont"/>
    <w:uiPriority w:val="99"/>
    <w:unhideWhenUsed/>
    <w:rsid w:val="002F4F04"/>
    <w:rPr>
      <w:color w:val="605E5C"/>
      <w:shd w:val="clear" w:color="auto" w:fill="E1DFDD"/>
    </w:rPr>
  </w:style>
  <w:style w:type="character" w:styleId="Mention">
    <w:name w:val="Mention"/>
    <w:basedOn w:val="DefaultParagraphFont"/>
    <w:uiPriority w:val="99"/>
    <w:unhideWhenUsed/>
    <w:rsid w:val="005C71C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66765">
      <w:bodyDiv w:val="1"/>
      <w:marLeft w:val="0"/>
      <w:marRight w:val="0"/>
      <w:marTop w:val="0"/>
      <w:marBottom w:val="0"/>
      <w:divBdr>
        <w:top w:val="none" w:sz="0" w:space="0" w:color="auto"/>
        <w:left w:val="none" w:sz="0" w:space="0" w:color="auto"/>
        <w:bottom w:val="none" w:sz="0" w:space="0" w:color="auto"/>
        <w:right w:val="none" w:sz="0" w:space="0" w:color="auto"/>
      </w:divBdr>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0384426">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014183993">
      <w:bodyDiv w:val="1"/>
      <w:marLeft w:val="0"/>
      <w:marRight w:val="0"/>
      <w:marTop w:val="0"/>
      <w:marBottom w:val="0"/>
      <w:divBdr>
        <w:top w:val="none" w:sz="0" w:space="0" w:color="auto"/>
        <w:left w:val="none" w:sz="0" w:space="0" w:color="auto"/>
        <w:bottom w:val="none" w:sz="0" w:space="0" w:color="auto"/>
        <w:right w:val="none" w:sz="0" w:space="0" w:color="auto"/>
      </w:divBdr>
    </w:div>
    <w:div w:id="1188450158">
      <w:bodyDiv w:val="1"/>
      <w:marLeft w:val="0"/>
      <w:marRight w:val="0"/>
      <w:marTop w:val="0"/>
      <w:marBottom w:val="0"/>
      <w:divBdr>
        <w:top w:val="none" w:sz="0" w:space="0" w:color="auto"/>
        <w:left w:val="none" w:sz="0" w:space="0" w:color="auto"/>
        <w:bottom w:val="none" w:sz="0" w:space="0" w:color="auto"/>
        <w:right w:val="none" w:sz="0" w:space="0" w:color="auto"/>
      </w:divBdr>
    </w:div>
    <w:div w:id="1315143513">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hss.alaska.gov/" TargetMode="External"/><Relationship Id="rId18" Type="http://schemas.openxmlformats.org/officeDocument/2006/relationships/hyperlink" Target="mailto:paul.houchens@milliman.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Wieferichj@michigan.gov" TargetMode="External"/><Relationship Id="rId17" Type="http://schemas.openxmlformats.org/officeDocument/2006/relationships/hyperlink" Target="file:///C:\Working%20Documents\Sourcing%20Documents\RFP_Bid%20Template%20Review\IDOA%20RFP%20Boilerplate%20E-BID%20v06-15-2020_rac%20review%2006292021.docx" TargetMode="External"/><Relationship Id="rId2" Type="http://schemas.openxmlformats.org/officeDocument/2006/relationships/customXml" Target="../customXml/item2.xml"/><Relationship Id="rId16" Type="http://schemas.openxmlformats.org/officeDocument/2006/relationships/hyperlink" Target="file:///C:\Working%20Documents\Sourcing%20Documents\RFP_Bid%20Template%20Review\IDOA%20RFP%20Boilerplate%20E-BID%20v06-15-2020_rac%20review%2006292021.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 TargetMode="External"/><Relationship Id="rId5" Type="http://schemas.openxmlformats.org/officeDocument/2006/relationships/numbering" Target="numbering.xml"/><Relationship Id="rId15" Type="http://schemas.openxmlformats.org/officeDocument/2006/relationships/hyperlink" Target="file:///C:\Working%20Documents\Sourcing%20Documents\RFP_Bid%20Template%20Review\IDOA%20RFP%20Boilerplate%20E-BID%20v06-15-2020_rac%20review%2006292021.docx" TargetMode="External"/><Relationship Id="rId10" Type="http://schemas.openxmlformats.org/officeDocument/2006/relationships/hyperlink" Target="mailto:idoareferences@idoa.in.gov" TargetMode="External"/><Relationship Id="rId19" Type="http://schemas.openxmlformats.org/officeDocument/2006/relationships/hyperlink" Target="https://us.milliman.com/en/" TargetMode="External"/><Relationship Id="rId4" Type="http://schemas.openxmlformats.org/officeDocument/2006/relationships/customXml" Target="../customXml/item4.xml"/><Relationship Id="rId9" Type="http://schemas.openxmlformats.org/officeDocument/2006/relationships/hyperlink" Target="https://www.milliman.com/en/social-impact" TargetMode="External"/><Relationship Id="rId14" Type="http://schemas.openxmlformats.org/officeDocument/2006/relationships/hyperlink" Target="mailto:gennifer.moreau-johnson@alask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6C8230EDD5C8439986E4C5F882B397" ma:contentTypeVersion="4" ma:contentTypeDescription="Create a new document." ma:contentTypeScope="" ma:versionID="f515238d0665a2dae05fca3624ce717f">
  <xsd:schema xmlns:xsd="http://www.w3.org/2001/XMLSchema" xmlns:xs="http://www.w3.org/2001/XMLSchema" xmlns:p="http://schemas.microsoft.com/office/2006/metadata/properties" xmlns:ns2="40784a6a-62ec-477b-97e9-d32d6db7a3ec" targetNamespace="http://schemas.microsoft.com/office/2006/metadata/properties" ma:root="true" ma:fieldsID="c2efaf71a5c6f709dd29b3f28b7db349" ns2:_="">
    <xsd:import namespace="40784a6a-62ec-477b-97e9-d32d6db7a3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784a6a-62ec-477b-97e9-d32d6db7a3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51C04B-63EB-4E57-B5A3-142C2A229BEE}">
  <ds:schemaRefs>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http://purl.org/dc/terms/"/>
    <ds:schemaRef ds:uri="http://www.w3.org/XML/1998/namespace"/>
    <ds:schemaRef ds:uri="40784a6a-62ec-477b-97e9-d32d6db7a3ec"/>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37ADE5AA-52DB-4A0C-BA0E-DEE2EA601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784a6a-62ec-477b-97e9-d32d6db7a3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B05F661C-7A40-4A18-9487-F3F4B8BBDB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6286</Words>
  <Characters>38240</Characters>
  <Application>Microsoft Office Word</Application>
  <DocSecurity>0</DocSecurity>
  <Lines>2390</Lines>
  <Paragraphs>1085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43441</CharactersWithSpaces>
  <SharedDoc>false</SharedDoc>
  <HLinks>
    <vt:vector size="96" baseType="variant">
      <vt:variant>
        <vt:i4>7012470</vt:i4>
      </vt:variant>
      <vt:variant>
        <vt:i4>30</vt:i4>
      </vt:variant>
      <vt:variant>
        <vt:i4>0</vt:i4>
      </vt:variant>
      <vt:variant>
        <vt:i4>5</vt:i4>
      </vt:variant>
      <vt:variant>
        <vt:lpwstr>https://us.milliman.com/en/</vt:lpwstr>
      </vt:variant>
      <vt:variant>
        <vt:lpwstr/>
      </vt:variant>
      <vt:variant>
        <vt:i4>1769593</vt:i4>
      </vt:variant>
      <vt:variant>
        <vt:i4>27</vt:i4>
      </vt:variant>
      <vt:variant>
        <vt:i4>0</vt:i4>
      </vt:variant>
      <vt:variant>
        <vt:i4>5</vt:i4>
      </vt:variant>
      <vt:variant>
        <vt:lpwstr>mailto:paul.houchens@milliman.com</vt:lpwstr>
      </vt:variant>
      <vt:variant>
        <vt:lpwstr/>
      </vt:variant>
      <vt:variant>
        <vt:i4>1310769</vt:i4>
      </vt:variant>
      <vt:variant>
        <vt:i4>24</vt:i4>
      </vt:variant>
      <vt:variant>
        <vt:i4>0</vt:i4>
      </vt:variant>
      <vt:variant>
        <vt:i4>5</vt:i4>
      </vt:variant>
      <vt:variant>
        <vt:lpwstr>C:\Working Documents\Sourcing Documents\RFP_Bid Template Review\IDOA RFP Boilerplate E-BID v06-15-2020_rac review 06292021.docx</vt:lpwstr>
      </vt:variant>
      <vt:variant>
        <vt:lpwstr>_2.3.7_Registration_to</vt:lpwstr>
      </vt:variant>
      <vt:variant>
        <vt:i4>1441893</vt:i4>
      </vt:variant>
      <vt:variant>
        <vt:i4>21</vt:i4>
      </vt:variant>
      <vt:variant>
        <vt:i4>0</vt:i4>
      </vt:variant>
      <vt:variant>
        <vt:i4>5</vt:i4>
      </vt:variant>
      <vt:variant>
        <vt:lpwstr>C:\Working Documents\Sourcing Documents\RFP_Bid Template Review\IDOA RFP Boilerplate E-BID v06-15-2020_rac review 06292021.docx</vt:lpwstr>
      </vt:variant>
      <vt:variant>
        <vt:lpwstr>_1.22_INDIANA_VETERAN</vt:lpwstr>
      </vt:variant>
      <vt:variant>
        <vt:i4>7405633</vt:i4>
      </vt:variant>
      <vt:variant>
        <vt:i4>18</vt:i4>
      </vt:variant>
      <vt:variant>
        <vt:i4>0</vt:i4>
      </vt:variant>
      <vt:variant>
        <vt:i4>5</vt:i4>
      </vt:variant>
      <vt:variant>
        <vt:lpwstr>C:\Working Documents\Sourcing Documents\RFP_Bid Template Review\IDOA RFP Boilerplate E-BID v06-15-2020_rac review 06292021.docx</vt:lpwstr>
      </vt:variant>
      <vt:variant>
        <vt:lpwstr>_1.21_MINORITY_&amp;</vt:lpwstr>
      </vt:variant>
      <vt:variant>
        <vt:i4>196657</vt:i4>
      </vt:variant>
      <vt:variant>
        <vt:i4>15</vt:i4>
      </vt:variant>
      <vt:variant>
        <vt:i4>0</vt:i4>
      </vt:variant>
      <vt:variant>
        <vt:i4>5</vt:i4>
      </vt:variant>
      <vt:variant>
        <vt:lpwstr>mailto:gennifer.moreau-johnson@alaska.gov</vt:lpwstr>
      </vt:variant>
      <vt:variant>
        <vt:lpwstr/>
      </vt:variant>
      <vt:variant>
        <vt:i4>983062</vt:i4>
      </vt:variant>
      <vt:variant>
        <vt:i4>12</vt:i4>
      </vt:variant>
      <vt:variant>
        <vt:i4>0</vt:i4>
      </vt:variant>
      <vt:variant>
        <vt:i4>5</vt:i4>
      </vt:variant>
      <vt:variant>
        <vt:lpwstr>https://dhss.alaska.gov/</vt:lpwstr>
      </vt:variant>
      <vt:variant>
        <vt:lpwstr/>
      </vt:variant>
      <vt:variant>
        <vt:i4>5046393</vt:i4>
      </vt:variant>
      <vt:variant>
        <vt:i4>9</vt:i4>
      </vt:variant>
      <vt:variant>
        <vt:i4>0</vt:i4>
      </vt:variant>
      <vt:variant>
        <vt:i4>5</vt:i4>
      </vt:variant>
      <vt:variant>
        <vt:lpwstr>mailto:Wieferichj@michigan.gov</vt:lpwstr>
      </vt:variant>
      <vt:variant>
        <vt:lpwstr/>
      </vt:variant>
      <vt:variant>
        <vt:i4>2555940</vt:i4>
      </vt:variant>
      <vt:variant>
        <vt:i4>6</vt:i4>
      </vt:variant>
      <vt:variant>
        <vt:i4>0</vt:i4>
      </vt:variant>
      <vt:variant>
        <vt:i4>5</vt:i4>
      </vt:variant>
      <vt:variant>
        <vt:lpwstr>https://www.michigan.gov/mdhhs</vt:lpwstr>
      </vt:variant>
      <vt:variant>
        <vt:lpwstr/>
      </vt:variant>
      <vt:variant>
        <vt:i4>6553627</vt:i4>
      </vt:variant>
      <vt:variant>
        <vt:i4>3</vt:i4>
      </vt:variant>
      <vt:variant>
        <vt:i4>0</vt:i4>
      </vt:variant>
      <vt:variant>
        <vt:i4>5</vt:i4>
      </vt:variant>
      <vt:variant>
        <vt:lpwstr>mailto:idoareferences@idoa.in.gov</vt:lpwstr>
      </vt:variant>
      <vt:variant>
        <vt:lpwstr/>
      </vt:variant>
      <vt:variant>
        <vt:i4>1703961</vt:i4>
      </vt:variant>
      <vt:variant>
        <vt:i4>0</vt:i4>
      </vt:variant>
      <vt:variant>
        <vt:i4>0</vt:i4>
      </vt:variant>
      <vt:variant>
        <vt:i4>5</vt:i4>
      </vt:variant>
      <vt:variant>
        <vt:lpwstr>https://www.milliman.com/en/social-impact</vt:lpwstr>
      </vt:variant>
      <vt:variant>
        <vt:lpwstr/>
      </vt:variant>
      <vt:variant>
        <vt:i4>2752584</vt:i4>
      </vt:variant>
      <vt:variant>
        <vt:i4>12</vt:i4>
      </vt:variant>
      <vt:variant>
        <vt:i4>0</vt:i4>
      </vt:variant>
      <vt:variant>
        <vt:i4>5</vt:i4>
      </vt:variant>
      <vt:variant>
        <vt:lpwstr>mailto:MaryPat.Stemnock@milliman.com</vt:lpwstr>
      </vt:variant>
      <vt:variant>
        <vt:lpwstr/>
      </vt:variant>
      <vt:variant>
        <vt:i4>1638518</vt:i4>
      </vt:variant>
      <vt:variant>
        <vt:i4>9</vt:i4>
      </vt:variant>
      <vt:variant>
        <vt:i4>0</vt:i4>
      </vt:variant>
      <vt:variant>
        <vt:i4>5</vt:i4>
      </vt:variant>
      <vt:variant>
        <vt:lpwstr>mailto:Jeremy.Hoffman@milliman.com</vt:lpwstr>
      </vt:variant>
      <vt:variant>
        <vt:lpwstr/>
      </vt:variant>
      <vt:variant>
        <vt:i4>1638518</vt:i4>
      </vt:variant>
      <vt:variant>
        <vt:i4>6</vt:i4>
      </vt:variant>
      <vt:variant>
        <vt:i4>0</vt:i4>
      </vt:variant>
      <vt:variant>
        <vt:i4>5</vt:i4>
      </vt:variant>
      <vt:variant>
        <vt:lpwstr>mailto:Jeremy.Hoffman@milliman.com</vt:lpwstr>
      </vt:variant>
      <vt:variant>
        <vt:lpwstr/>
      </vt:variant>
      <vt:variant>
        <vt:i4>2621534</vt:i4>
      </vt:variant>
      <vt:variant>
        <vt:i4>3</vt:i4>
      </vt:variant>
      <vt:variant>
        <vt:i4>0</vt:i4>
      </vt:variant>
      <vt:variant>
        <vt:i4>5</vt:i4>
      </vt:variant>
      <vt:variant>
        <vt:lpwstr>mailto:Katherine.Wentworth@milliman.com</vt:lpwstr>
      </vt:variant>
      <vt:variant>
        <vt:lpwstr/>
      </vt:variant>
      <vt:variant>
        <vt:i4>2883654</vt:i4>
      </vt:variant>
      <vt:variant>
        <vt:i4>0</vt:i4>
      </vt:variant>
      <vt:variant>
        <vt:i4>0</vt:i4>
      </vt:variant>
      <vt:variant>
        <vt:i4>5</vt:i4>
      </vt:variant>
      <vt:variant>
        <vt:lpwstr>mailto:David.Applegate@milliman.com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Hannah Walton</cp:lastModifiedBy>
  <cp:revision>4</cp:revision>
  <dcterms:created xsi:type="dcterms:W3CDTF">2022-05-13T00:47:00Z</dcterms:created>
  <dcterms:modified xsi:type="dcterms:W3CDTF">2022-05-13T03:44:00Z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0x010100C76C8230EDD5C8439986E4C5F882B397</vt:lpwstr>
  </property>
</Properties>
</file>